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8C8" w:rsidRPr="00233FC4" w:rsidRDefault="008208C8" w:rsidP="008208C8">
      <w:pPr>
        <w:jc w:val="center"/>
        <w:rPr>
          <w:b/>
          <w:sz w:val="28"/>
          <w:szCs w:val="28"/>
        </w:rPr>
      </w:pPr>
      <w:bookmarkStart w:id="0" w:name="_GoBack"/>
      <w:bookmarkEnd w:id="0"/>
      <w:r w:rsidRPr="00233FC4">
        <w:rPr>
          <w:b/>
          <w:sz w:val="28"/>
          <w:szCs w:val="28"/>
        </w:rPr>
        <w:t>МЕТОДОЛОГИЧЕСКИЕ ПРИНЦИПЫ</w:t>
      </w:r>
    </w:p>
    <w:p w:rsidR="008208C8" w:rsidRPr="00233FC4" w:rsidRDefault="008208C8" w:rsidP="008208C8">
      <w:pPr>
        <w:jc w:val="center"/>
        <w:rPr>
          <w:b/>
          <w:sz w:val="28"/>
          <w:szCs w:val="28"/>
        </w:rPr>
      </w:pPr>
      <w:r w:rsidRPr="00233FC4">
        <w:rPr>
          <w:b/>
          <w:sz w:val="28"/>
          <w:szCs w:val="28"/>
        </w:rPr>
        <w:t>СОСТАВЛЕНИЯ ТАБЛИЦ «ЗАТРАТЫ - ВЫПУСК»</w:t>
      </w:r>
    </w:p>
    <w:p w:rsidR="008208C8" w:rsidRPr="00233FC4" w:rsidRDefault="008208C8" w:rsidP="008208C8">
      <w:pPr>
        <w:spacing w:before="120"/>
        <w:ind w:firstLine="709"/>
        <w:jc w:val="both"/>
      </w:pPr>
    </w:p>
    <w:p w:rsidR="008208C8" w:rsidRDefault="008208C8" w:rsidP="008208C8">
      <w:pPr>
        <w:pStyle w:val="2"/>
        <w:spacing w:line="240" w:lineRule="auto"/>
        <w:ind w:firstLine="709"/>
        <w:jc w:val="both"/>
      </w:pPr>
      <w:r>
        <w:t>Т</w:t>
      </w:r>
      <w:r w:rsidRPr="00CD052D">
        <w:t>аблицы «</w:t>
      </w:r>
      <w:proofErr w:type="gramStart"/>
      <w:r w:rsidRPr="00CD052D">
        <w:t>затраты-выпуск</w:t>
      </w:r>
      <w:proofErr w:type="gramEnd"/>
      <w:r w:rsidRPr="00CD052D">
        <w:t>», являясь составной частью Системы нацио</w:t>
      </w:r>
      <w:r w:rsidRPr="00C44FBA">
        <w:t>нальных счетов (СНС), представляют собой интегрированную систему макроэконом</w:t>
      </w:r>
      <w:r w:rsidRPr="00A21E6B">
        <w:t>ических показателей, всесторонне характеризующих структуру экономики в детализированном разрезе видов экономической деятельности и продук</w:t>
      </w:r>
      <w:r>
        <w:t>тов.</w:t>
      </w:r>
      <w:r w:rsidRPr="00A21E6B">
        <w:t xml:space="preserve"> </w:t>
      </w:r>
      <w:r>
        <w:t>Э</w:t>
      </w:r>
      <w:r w:rsidRPr="00A21E6B">
        <w:t xml:space="preserve">ти таблицы позволяют обеспечить более детальный анализ процесса производства и использования товаров и услуг, а также образования и использования доходов, создающихся в процессе производства. </w:t>
      </w:r>
    </w:p>
    <w:p w:rsidR="008208C8" w:rsidRPr="00233FC4" w:rsidRDefault="008208C8" w:rsidP="008208C8">
      <w:pPr>
        <w:spacing w:before="120"/>
        <w:ind w:firstLine="709"/>
        <w:jc w:val="both"/>
      </w:pPr>
      <w:r>
        <w:t>В состав таблиц «</w:t>
      </w:r>
      <w:proofErr w:type="gramStart"/>
      <w:r>
        <w:t>затраты-выпуск</w:t>
      </w:r>
      <w:proofErr w:type="gramEnd"/>
      <w:r>
        <w:t>» входит</w:t>
      </w:r>
      <w:r w:rsidRPr="00233FC4">
        <w:t xml:space="preserve"> три типа таблиц: </w:t>
      </w:r>
    </w:p>
    <w:p w:rsidR="008208C8" w:rsidRPr="00233FC4" w:rsidRDefault="008208C8" w:rsidP="008208C8">
      <w:pPr>
        <w:numPr>
          <w:ilvl w:val="0"/>
          <w:numId w:val="2"/>
        </w:numPr>
        <w:tabs>
          <w:tab w:val="num" w:pos="900"/>
        </w:tabs>
        <w:ind w:left="0" w:firstLine="709"/>
        <w:jc w:val="both"/>
      </w:pPr>
      <w:r w:rsidRPr="00233FC4">
        <w:t>таблиц</w:t>
      </w:r>
      <w:r>
        <w:t>а</w:t>
      </w:r>
      <w:r w:rsidRPr="00233FC4">
        <w:t xml:space="preserve"> ресурсов товаров и услуг, </w:t>
      </w:r>
    </w:p>
    <w:p w:rsidR="008208C8" w:rsidRPr="00233FC4" w:rsidRDefault="008208C8" w:rsidP="008208C8">
      <w:pPr>
        <w:numPr>
          <w:ilvl w:val="0"/>
          <w:numId w:val="2"/>
        </w:numPr>
        <w:tabs>
          <w:tab w:val="num" w:pos="900"/>
        </w:tabs>
        <w:ind w:left="0" w:firstLine="709"/>
        <w:jc w:val="both"/>
      </w:pPr>
      <w:r w:rsidRPr="00233FC4">
        <w:t>таблиц</w:t>
      </w:r>
      <w:r>
        <w:t>а</w:t>
      </w:r>
      <w:r w:rsidRPr="00233FC4">
        <w:t xml:space="preserve"> использования товаров и услуг;</w:t>
      </w:r>
    </w:p>
    <w:p w:rsidR="008208C8" w:rsidRDefault="008208C8" w:rsidP="008208C8">
      <w:pPr>
        <w:numPr>
          <w:ilvl w:val="0"/>
          <w:numId w:val="2"/>
        </w:numPr>
        <w:tabs>
          <w:tab w:val="num" w:pos="900"/>
        </w:tabs>
        <w:ind w:left="0" w:firstLine="709"/>
        <w:jc w:val="both"/>
      </w:pPr>
      <w:r w:rsidRPr="00233FC4">
        <w:t>симметричн</w:t>
      </w:r>
      <w:r>
        <w:t>ая</w:t>
      </w:r>
      <w:r w:rsidRPr="00233FC4">
        <w:t xml:space="preserve"> таблиц</w:t>
      </w:r>
      <w:r>
        <w:t>а</w:t>
      </w:r>
      <w:r w:rsidRPr="00233FC4">
        <w:t xml:space="preserve"> «</w:t>
      </w:r>
      <w:proofErr w:type="gramStart"/>
      <w:r w:rsidRPr="00233FC4">
        <w:t>затраты-выпуск</w:t>
      </w:r>
      <w:proofErr w:type="gramEnd"/>
      <w:r w:rsidRPr="00233FC4">
        <w:t>».</w:t>
      </w:r>
    </w:p>
    <w:p w:rsidR="008208C8" w:rsidRPr="00233FC4" w:rsidRDefault="008208C8" w:rsidP="008208C8">
      <w:pPr>
        <w:spacing w:before="120"/>
        <w:ind w:firstLine="709"/>
        <w:jc w:val="both"/>
      </w:pPr>
      <w:r w:rsidRPr="003622F0">
        <w:rPr>
          <w:b/>
        </w:rPr>
        <w:t>Таблица ресурсов товаров и услуг</w:t>
      </w:r>
      <w:r>
        <w:t xml:space="preserve"> (</w:t>
      </w:r>
      <w:proofErr w:type="gramStart"/>
      <w:r>
        <w:t>ТР</w:t>
      </w:r>
      <w:proofErr w:type="gramEnd"/>
      <w:r>
        <w:t>)</w:t>
      </w:r>
      <w:r w:rsidRPr="00233FC4">
        <w:t xml:space="preserve"> - таблица типа продукт-отрасль, по строкам которой перечислены продукты, по столбцам - отрасли, импорт, транспортные, торговые наценки, чистые налоги на продукты.</w:t>
      </w:r>
    </w:p>
    <w:p w:rsidR="008208C8" w:rsidRPr="00233FC4" w:rsidRDefault="008208C8" w:rsidP="008208C8">
      <w:pPr>
        <w:spacing w:before="120"/>
        <w:ind w:firstLine="709"/>
        <w:jc w:val="both"/>
      </w:pPr>
      <w:proofErr w:type="gramStart"/>
      <w:r w:rsidRPr="00233FC4">
        <w:t>ТР</w:t>
      </w:r>
      <w:proofErr w:type="gramEnd"/>
      <w:r w:rsidRPr="00233FC4">
        <w:t xml:space="preserve"> отражает предложение ресурсов товаров и услуг по продуктам и типам их происхождения (отечественные продукты и импортные). В матрице отечественного производства показан выпуск отраслей в разрезе продуктов. Столбец импорта показывает общую величину импорта в разрезе продуктов.</w:t>
      </w:r>
    </w:p>
    <w:p w:rsidR="008208C8" w:rsidRDefault="008208C8" w:rsidP="008208C8">
      <w:pPr>
        <w:spacing w:before="120"/>
        <w:ind w:firstLine="709"/>
        <w:jc w:val="both"/>
      </w:pPr>
      <w:r w:rsidRPr="00233FC4">
        <w:t xml:space="preserve">Кроме того, в </w:t>
      </w:r>
      <w:proofErr w:type="gramStart"/>
      <w:r w:rsidRPr="00233FC4">
        <w:t>ТР</w:t>
      </w:r>
      <w:proofErr w:type="gramEnd"/>
      <w:r w:rsidRPr="00233FC4">
        <w:t xml:space="preserve"> отражены основные компоненты, характеризующие переход от основных цен к ценам покупателей в разрезе продуктов (транспортные, торговые наценки, чистые налоги на продукты).</w:t>
      </w:r>
    </w:p>
    <w:p w:rsidR="008208C8" w:rsidRPr="003622F0" w:rsidRDefault="008208C8" w:rsidP="008208C8">
      <w:pPr>
        <w:spacing w:before="120"/>
        <w:ind w:firstLine="709"/>
        <w:jc w:val="both"/>
      </w:pPr>
      <w:r>
        <w:t>У</w:t>
      </w:r>
      <w:r w:rsidRPr="00233FC4">
        <w:t>прощенная схема</w:t>
      </w:r>
      <w:r w:rsidRPr="00233FC4">
        <w:rPr>
          <w:b/>
        </w:rPr>
        <w:t xml:space="preserve"> </w:t>
      </w:r>
      <w:proofErr w:type="gramStart"/>
      <w:r w:rsidRPr="003622F0">
        <w:t>ТР</w:t>
      </w:r>
      <w:proofErr w:type="gramEnd"/>
      <w:r>
        <w:t xml:space="preserve"> приведена в приложении 1.</w:t>
      </w:r>
    </w:p>
    <w:p w:rsidR="008208C8" w:rsidRPr="00233FC4" w:rsidRDefault="008208C8" w:rsidP="008208C8">
      <w:pPr>
        <w:spacing w:before="120"/>
        <w:ind w:firstLine="709"/>
        <w:jc w:val="both"/>
      </w:pPr>
      <w:r w:rsidRPr="00BA5D31">
        <w:rPr>
          <w:b/>
        </w:rPr>
        <w:t>Таблица использования товаров и услуг (ТИ)</w:t>
      </w:r>
      <w:r w:rsidRPr="00233FC4">
        <w:t xml:space="preserve"> – таблица типа продукт-отрасль, по строкам которой перечислены продукты и компоненты добавленной стоимости, по столбцам – отрасли и категории конечного использования продуктов. </w:t>
      </w:r>
    </w:p>
    <w:p w:rsidR="008208C8" w:rsidRPr="00233FC4" w:rsidRDefault="008208C8" w:rsidP="008208C8">
      <w:pPr>
        <w:spacing w:before="120"/>
        <w:ind w:firstLine="709"/>
        <w:jc w:val="both"/>
      </w:pPr>
      <w:r w:rsidRPr="00233FC4">
        <w:t>ТИ состоит из трех таблиц (квадрантов):</w:t>
      </w:r>
    </w:p>
    <w:p w:rsidR="008208C8" w:rsidRPr="00233FC4" w:rsidRDefault="008208C8" w:rsidP="008208C8">
      <w:pPr>
        <w:ind w:firstLine="709"/>
        <w:jc w:val="both"/>
      </w:pPr>
      <w:r w:rsidRPr="00233FC4">
        <w:t>1 квадрант - таблица промежуточного использования,</w:t>
      </w:r>
    </w:p>
    <w:p w:rsidR="008208C8" w:rsidRPr="00233FC4" w:rsidRDefault="008208C8" w:rsidP="008208C8">
      <w:pPr>
        <w:ind w:firstLine="709"/>
        <w:jc w:val="both"/>
      </w:pPr>
      <w:r w:rsidRPr="00233FC4">
        <w:t>2 квадрант - таблица конечного использования,</w:t>
      </w:r>
    </w:p>
    <w:p w:rsidR="008208C8" w:rsidRPr="00233FC4" w:rsidRDefault="008208C8" w:rsidP="008208C8">
      <w:pPr>
        <w:ind w:firstLine="709"/>
        <w:jc w:val="both"/>
      </w:pPr>
      <w:r w:rsidRPr="00233FC4">
        <w:t>3 квадрант - таблица добавленной стоимости.</w:t>
      </w:r>
    </w:p>
    <w:p w:rsidR="008208C8" w:rsidRPr="00233FC4" w:rsidRDefault="008208C8" w:rsidP="008208C8">
      <w:pPr>
        <w:spacing w:before="120"/>
        <w:ind w:firstLine="709"/>
        <w:jc w:val="both"/>
      </w:pPr>
      <w:r w:rsidRPr="00233FC4">
        <w:t>1 квадрант ТИ показывает промежуточное потребление в разрезе продуктов и отраслей, 2 квадрант – использование продуктов на конечное потребление, валовое накопление капитала и экспорт, 3 квадрант характеризует компоненты добавленной стоимости (оплата труда, другие налоги за минусом субсидий на производство, потребление основного капитала и чистую прибыль) по отраслям.</w:t>
      </w:r>
    </w:p>
    <w:p w:rsidR="008208C8" w:rsidRPr="003622F0" w:rsidRDefault="008208C8" w:rsidP="008208C8">
      <w:pPr>
        <w:pStyle w:val="21"/>
        <w:spacing w:before="120" w:line="240" w:lineRule="auto"/>
        <w:ind w:firstLine="709"/>
        <w:rPr>
          <w:rFonts w:ascii="Times New Roman" w:hAnsi="Times New Roman"/>
          <w:sz w:val="24"/>
          <w:szCs w:val="24"/>
        </w:rPr>
      </w:pPr>
      <w:r w:rsidRPr="00233FC4">
        <w:rPr>
          <w:rFonts w:ascii="Times New Roman" w:hAnsi="Times New Roman"/>
          <w:sz w:val="24"/>
          <w:szCs w:val="24"/>
        </w:rPr>
        <w:t xml:space="preserve">С точки зрения цен, с помощью которых описываются воспроизводственные пропорции, ТИ могут быть построены </w:t>
      </w:r>
      <w:r w:rsidRPr="003622F0">
        <w:rPr>
          <w:rFonts w:ascii="Times New Roman" w:hAnsi="Times New Roman"/>
          <w:sz w:val="24"/>
          <w:szCs w:val="24"/>
        </w:rPr>
        <w:t>в ценах покупателей и в основных ценах.</w:t>
      </w:r>
    </w:p>
    <w:p w:rsidR="008208C8" w:rsidRPr="00233FC4" w:rsidRDefault="008208C8" w:rsidP="008208C8">
      <w:pPr>
        <w:spacing w:before="120"/>
        <w:ind w:firstLine="709"/>
        <w:jc w:val="both"/>
      </w:pPr>
      <w:r w:rsidRPr="00233FC4">
        <w:t xml:space="preserve">В </w:t>
      </w:r>
      <w:r w:rsidRPr="003622F0">
        <w:rPr>
          <w:b/>
        </w:rPr>
        <w:t>ТИ в ценах покупателей</w:t>
      </w:r>
      <w:r w:rsidRPr="00233FC4">
        <w:t xml:space="preserve"> (приложение 2) стоимость каждого использованного продукта на промежуточное потребление в отраслях экономики и по категориям конечного спроса отражается в ценах покупателей и содержит помимо основной цены торговые, транспортные наценки и чистые налоги на продукты (налоги за вычетом субсидий на продукты). </w:t>
      </w:r>
    </w:p>
    <w:p w:rsidR="008208C8" w:rsidRPr="00233FC4" w:rsidRDefault="008208C8" w:rsidP="008208C8">
      <w:pPr>
        <w:spacing w:before="120"/>
        <w:ind w:firstLine="709"/>
        <w:jc w:val="both"/>
      </w:pPr>
      <w:r w:rsidRPr="00233FC4">
        <w:t xml:space="preserve">В </w:t>
      </w:r>
      <w:r w:rsidRPr="003622F0">
        <w:rPr>
          <w:b/>
        </w:rPr>
        <w:t>ТИ в основных ценах</w:t>
      </w:r>
      <w:r w:rsidRPr="00233FC4">
        <w:t xml:space="preserve"> (приложение 3) стоимость каждого использованного продукта на промежуточное потребление в отраслях экономики и по категориям конечного спроса отражается в основных ценах, то есть за вычетом торговых и </w:t>
      </w:r>
      <w:r w:rsidRPr="00233FC4">
        <w:lastRenderedPageBreak/>
        <w:t xml:space="preserve">транспортных наценок и чистых налогов на продукты.  Итоги промежуточного потребления по отраслям экономики так же, как и в таблице в ценах покупателей, отражены в ценах покупателей, а выпуски отраслей - в основных ценах. </w:t>
      </w:r>
    </w:p>
    <w:p w:rsidR="008208C8" w:rsidRPr="00233FC4" w:rsidRDefault="008208C8" w:rsidP="008208C8">
      <w:pPr>
        <w:spacing w:before="120"/>
        <w:ind w:firstLine="709"/>
        <w:jc w:val="both"/>
      </w:pPr>
      <w:r w:rsidRPr="00233FC4">
        <w:t>Для получения ТИ в основных ценах из 1 и 2 квадрантов ТИ в ценах покупателей вычитаются таблицы торговых, транспортные наценок и чистых налогов на продукты (приложения 4-6). При этом вектор-строка торговых наценок по отраслям добавляется к строке «торговля», вектор-строка транспортных наценок - к строке «транспорт», а вектор-строка чистых налогов на продукты показывается отдельной строкой в составе промежуточного потребления ТИ в основных ценах.</w:t>
      </w:r>
    </w:p>
    <w:p w:rsidR="008208C8" w:rsidRPr="00233FC4" w:rsidRDefault="008208C8" w:rsidP="008208C8">
      <w:pPr>
        <w:spacing w:before="120"/>
        <w:ind w:firstLine="709"/>
        <w:jc w:val="both"/>
      </w:pPr>
      <w:r w:rsidRPr="00233FC4">
        <w:t xml:space="preserve">ТИ в основных ценах отражает использование различных видов товаров и услуг без их разграничения </w:t>
      </w:r>
      <w:proofErr w:type="gramStart"/>
      <w:r w:rsidRPr="00233FC4">
        <w:t>на</w:t>
      </w:r>
      <w:proofErr w:type="gramEnd"/>
      <w:r w:rsidRPr="00233FC4">
        <w:t xml:space="preserve"> отечественные и импортные. Для аналитических целей строятся отдельные таблицы: ТИ импортной продукции и ТИ отечественной продукции.  </w:t>
      </w:r>
    </w:p>
    <w:p w:rsidR="008208C8" w:rsidRPr="00233FC4" w:rsidRDefault="008208C8" w:rsidP="008208C8">
      <w:pPr>
        <w:pStyle w:val="a5"/>
        <w:ind w:left="0" w:firstLine="720"/>
        <w:jc w:val="both"/>
        <w:rPr>
          <w:b/>
          <w:i/>
        </w:rPr>
      </w:pPr>
      <w:r w:rsidRPr="00233FC4">
        <w:t>ТИ отечественных товаров и услуг (приложение 7) показывает использование отечественной продукции на промежуточное потребление отраслей экономики и на конечное использование, ТИ импортных товаров и услуг (приложение 8) – использование импортной продукции на эти же цели.</w:t>
      </w:r>
      <w:r w:rsidRPr="00233FC4">
        <w:rPr>
          <w:b/>
          <w:i/>
        </w:rPr>
        <w:t xml:space="preserve"> </w:t>
      </w:r>
    </w:p>
    <w:p w:rsidR="008208C8" w:rsidRPr="00233FC4" w:rsidRDefault="008208C8" w:rsidP="008208C8">
      <w:pPr>
        <w:pStyle w:val="a5"/>
        <w:ind w:left="0" w:firstLine="720"/>
        <w:jc w:val="both"/>
      </w:pPr>
      <w:proofErr w:type="gramStart"/>
      <w:r w:rsidRPr="00233FC4">
        <w:t>ТР</w:t>
      </w:r>
      <w:proofErr w:type="gramEnd"/>
      <w:r w:rsidRPr="00233FC4">
        <w:t xml:space="preserve"> и ТИ</w:t>
      </w:r>
      <w:r w:rsidRPr="00233FC4">
        <w:rPr>
          <w:b/>
          <w:i/>
        </w:rPr>
        <w:t xml:space="preserve"> </w:t>
      </w:r>
      <w:r w:rsidRPr="00233FC4">
        <w:t>являются</w:t>
      </w:r>
      <w:r>
        <w:t xml:space="preserve"> основополагающими таблицами системы таблиц «затраты-выпуск». Они </w:t>
      </w:r>
      <w:r w:rsidRPr="00233FC4">
        <w:t>наиболее точно описывают операции, существующие в реальной жиз</w:t>
      </w:r>
      <w:r>
        <w:t>ни,</w:t>
      </w:r>
      <w:r w:rsidRPr="00233FC4">
        <w:t xml:space="preserve"> тесно связаны с фактическими наблюдениями и максимально приближены к исходным статистическим данным. При составлении таблиц ресурсов и использования вся имеющаяся информация о производстве, импорте и использовании товаров и услуг по группам производителей (отраслям), полученная из различных источников, объединяется, а затем с целью </w:t>
      </w:r>
      <w:r>
        <w:t xml:space="preserve">ликвидации дисбалансов по каждой группе товаров и услуг </w:t>
      </w:r>
      <w:r w:rsidRPr="00233FC4">
        <w:t xml:space="preserve">подвергается балансировке. </w:t>
      </w:r>
    </w:p>
    <w:p w:rsidR="008208C8" w:rsidRPr="00233FC4" w:rsidRDefault="008208C8" w:rsidP="008208C8">
      <w:pPr>
        <w:ind w:firstLine="709"/>
        <w:jc w:val="both"/>
      </w:pPr>
      <w:r w:rsidRPr="00B055AC">
        <w:rPr>
          <w:b/>
        </w:rPr>
        <w:t>Симметричная таблица «</w:t>
      </w:r>
      <w:proofErr w:type="gramStart"/>
      <w:r w:rsidRPr="00B055AC">
        <w:rPr>
          <w:b/>
        </w:rPr>
        <w:t>затраты-выпуск</w:t>
      </w:r>
      <w:proofErr w:type="gramEnd"/>
      <w:r w:rsidRPr="00B055AC">
        <w:rPr>
          <w:b/>
        </w:rPr>
        <w:t>»</w:t>
      </w:r>
      <w:r w:rsidRPr="00233FC4">
        <w:t xml:space="preserve"> (ТЗВ), более известная среди российских пользователей статистической информации как межотраслевой баланс производства и распределения товаров и услуг, представляет собой таблицу типа отрасль-отрасль или продукт-продукт. Симметричность означает, что в строках и столбцах ТЗВ показаны одинаковые классификационные единицы - однородные группы продуктов или отраслей.</w:t>
      </w:r>
    </w:p>
    <w:p w:rsidR="008208C8" w:rsidRPr="00233FC4" w:rsidRDefault="008208C8" w:rsidP="008208C8">
      <w:pPr>
        <w:pStyle w:val="a5"/>
        <w:ind w:left="0" w:firstLine="709"/>
        <w:jc w:val="both"/>
      </w:pPr>
      <w:r w:rsidRPr="00233FC4">
        <w:t xml:space="preserve">ТЗВ строится на основе сбалансированных </w:t>
      </w:r>
      <w:proofErr w:type="gramStart"/>
      <w:r w:rsidRPr="00233FC4">
        <w:t>ТР</w:t>
      </w:r>
      <w:proofErr w:type="gramEnd"/>
      <w:r w:rsidRPr="00233FC4">
        <w:t xml:space="preserve"> и ТИ </w:t>
      </w:r>
      <w:r>
        <w:t xml:space="preserve">в основных ценах </w:t>
      </w:r>
      <w:r w:rsidRPr="00233FC4">
        <w:t xml:space="preserve">с использованием различных допущений (о технологии производства продукта или технологии отрасли, постоянной структуре продаж продукта или отрасли). Переход от сбалансированных </w:t>
      </w:r>
      <w:proofErr w:type="gramStart"/>
      <w:r w:rsidRPr="00233FC4">
        <w:t>ТР</w:t>
      </w:r>
      <w:proofErr w:type="gramEnd"/>
      <w:r w:rsidRPr="00233FC4">
        <w:t xml:space="preserve"> и ТИ осуществляется с помощью математических операций, основанных на методах линейного программирования. </w:t>
      </w:r>
    </w:p>
    <w:p w:rsidR="008208C8" w:rsidRPr="00233FC4" w:rsidRDefault="008208C8" w:rsidP="008208C8">
      <w:pPr>
        <w:spacing w:before="120"/>
        <w:ind w:firstLine="709"/>
        <w:jc w:val="both"/>
      </w:pPr>
      <w:r w:rsidRPr="00233FC4">
        <w:t xml:space="preserve">Выбор типа ТЗВ (продукт-продукт или отрасль-отрасль) зависит от целей анализа. ТЗВ типа отрасль-отрасль более близка к исходной статистической информации и реальным трансакциям на рынке товаров и услуг. ТЗВ типа продукт-продукт более </w:t>
      </w:r>
      <w:proofErr w:type="gramStart"/>
      <w:r w:rsidRPr="00233FC4">
        <w:t>однородна</w:t>
      </w:r>
      <w:proofErr w:type="gramEnd"/>
      <w:r w:rsidRPr="00233FC4">
        <w:t xml:space="preserve"> с точки зрения структуры затрат на производство и структуры производства.</w:t>
      </w:r>
    </w:p>
    <w:p w:rsidR="008208C8" w:rsidRPr="00233FC4" w:rsidRDefault="008208C8" w:rsidP="008208C8">
      <w:pPr>
        <w:spacing w:before="120"/>
        <w:ind w:firstLine="709"/>
        <w:jc w:val="both"/>
      </w:pPr>
      <w:r w:rsidRPr="00233FC4">
        <w:t xml:space="preserve">ТЗВ имеет большое аналитическое значение, поскольку именно на ее основе осуществляется расчет коэффициентов полных затрат (мультипликаторов), с помощью которых проводятся сценарные и прогнозные расчеты развития экономики. </w:t>
      </w:r>
    </w:p>
    <w:p w:rsidR="008208C8" w:rsidRPr="00233FC4" w:rsidRDefault="008208C8" w:rsidP="008208C8">
      <w:pPr>
        <w:spacing w:before="120"/>
        <w:ind w:firstLine="709"/>
        <w:jc w:val="both"/>
      </w:pPr>
      <w:r w:rsidRPr="00233FC4">
        <w:t>Упрощенные схемы ТЗВ типа продукт-продукт и отрасль-отрасль представлены в приложениях 9 и 10.</w:t>
      </w:r>
    </w:p>
    <w:p w:rsidR="008208C8" w:rsidRPr="00BA5D31" w:rsidRDefault="008208C8" w:rsidP="008208C8">
      <w:pPr>
        <w:spacing w:before="120"/>
        <w:ind w:firstLine="709"/>
        <w:jc w:val="both"/>
      </w:pPr>
      <w:r>
        <w:t>Различают базовые и ежегодные таблицы «</w:t>
      </w:r>
      <w:proofErr w:type="gramStart"/>
      <w:r>
        <w:t>затраты-выпуск</w:t>
      </w:r>
      <w:proofErr w:type="gramEnd"/>
      <w:r>
        <w:t xml:space="preserve">». Для построения базовых таблиц раз в пять лет проводятся специальные единовременные обследования затрат на производство во всех отраслях экономики в разрезе детализированных групп товаров и услуг. Результаты обследования дополняют данные текущей статистики, в </w:t>
      </w:r>
      <w:r>
        <w:lastRenderedPageBreak/>
        <w:t>которой такая информация отсутствует. Структурные пропорции, полученные из базовых таблиц, используются при построении ежегодных таблиц в межбазовые годы.</w:t>
      </w:r>
    </w:p>
    <w:p w:rsidR="008208C8" w:rsidRDefault="008208C8" w:rsidP="008208C8">
      <w:pPr>
        <w:spacing w:before="120"/>
        <w:ind w:firstLine="709"/>
        <w:jc w:val="both"/>
      </w:pPr>
      <w:r w:rsidRPr="0046759B">
        <w:t xml:space="preserve">В практике советской статистики </w:t>
      </w:r>
      <w:r>
        <w:t>базовые таблицы «</w:t>
      </w:r>
      <w:proofErr w:type="gramStart"/>
      <w:r>
        <w:t>затраты-выпуск</w:t>
      </w:r>
      <w:proofErr w:type="gramEnd"/>
      <w:r>
        <w:t xml:space="preserve">», называемые </w:t>
      </w:r>
      <w:r w:rsidRPr="0046759B">
        <w:t>межот</w:t>
      </w:r>
      <w:r>
        <w:t>р</w:t>
      </w:r>
      <w:r w:rsidRPr="0046759B">
        <w:t>аслевы</w:t>
      </w:r>
      <w:r>
        <w:t>ми</w:t>
      </w:r>
      <w:r w:rsidRPr="0046759B">
        <w:t xml:space="preserve"> баланс</w:t>
      </w:r>
      <w:r>
        <w:t xml:space="preserve">ами, </w:t>
      </w:r>
      <w:r w:rsidRPr="0046759B">
        <w:t>разрабатывались на регулярной основе (за 1959, 1966, 1972, 1977, 1982 и 1987гг).</w:t>
      </w:r>
      <w:r>
        <w:t xml:space="preserve"> Последние базовые таблицы «</w:t>
      </w:r>
      <w:proofErr w:type="gramStart"/>
      <w:r>
        <w:t>затраты-выпуск</w:t>
      </w:r>
      <w:proofErr w:type="gramEnd"/>
      <w:r>
        <w:t>» были разработаны за 1995 год. Эти таблицы были впервые построены на принципиально новой методологии Системы национальных счетов, соответствующей рыночной экономике. Однако номенклатуры отраслей и продукции в этих таблицах базировались на действующем в тот момент Общероссийском классификаторе отраслей народного хозяйства.</w:t>
      </w:r>
    </w:p>
    <w:p w:rsidR="008208C8" w:rsidRDefault="008208C8" w:rsidP="008208C8">
      <w:pPr>
        <w:spacing w:before="120"/>
        <w:ind w:firstLine="709"/>
        <w:jc w:val="both"/>
      </w:pPr>
      <w:r>
        <w:t>После внедрения в статистическую практику Общероссийского классификатора видов экономической деятельности (ОКВЭД) в условиях отсутствия детальной информации о структуре производственного потребления и валового накопления были построены краткие таблицы ресурсов и использования товаров и услуг за 2004 - 2006 гг. в разрезе 15 разделов ОКВЭД. Разработанные таблицы в определенной мере помогли улучшить сбалансированность показателей произведенного и использованного валового внутреннего продукта, однако, в силу своей малой размерности содержали информацию, характеризующую структуру экономики на очень высоком уровне агрегации, и не могли использоваться в качестве надежного инструмента прогнозирования экономики.</w:t>
      </w:r>
    </w:p>
    <w:p w:rsidR="008208C8" w:rsidRDefault="008208C8" w:rsidP="008208C8">
      <w:pPr>
        <w:spacing w:before="120"/>
        <w:ind w:firstLine="709"/>
        <w:jc w:val="both"/>
      </w:pPr>
      <w:proofErr w:type="gramStart"/>
      <w:r>
        <w:t xml:space="preserve">Распоряжением Правительства Российской Федерации от 14 февраля 2009г. №201-р в целях формирования официальной статистической информации о межотраслевых связях и структурных пропорциях экономики Российской Федерации, а также повышения качества статистических и прогнозных расчетов макроэкономических показателей Росстату поручено </w:t>
      </w:r>
      <w:r w:rsidRPr="005D0164">
        <w:t>осуществлять разработку базовых таблиц "затраты - выпуск" на регулярной основе 1 раз в 5 лет</w:t>
      </w:r>
      <w:r>
        <w:t xml:space="preserve">, начиная с 2011 года. </w:t>
      </w:r>
      <w:proofErr w:type="gramEnd"/>
    </w:p>
    <w:p w:rsidR="008208C8" w:rsidRPr="00233FC4" w:rsidRDefault="008208C8" w:rsidP="008208C8">
      <w:pPr>
        <w:spacing w:before="120"/>
        <w:ind w:firstLine="709"/>
        <w:jc w:val="both"/>
      </w:pPr>
      <w:r w:rsidRPr="00233FC4">
        <w:t>Целями разработки базовых таблиц «</w:t>
      </w:r>
      <w:proofErr w:type="gramStart"/>
      <w:r w:rsidRPr="00233FC4">
        <w:t>затраты-выпуск</w:t>
      </w:r>
      <w:proofErr w:type="gramEnd"/>
      <w:r w:rsidRPr="00233FC4">
        <w:t>» являются:</w:t>
      </w:r>
    </w:p>
    <w:p w:rsidR="008208C8" w:rsidRDefault="008208C8" w:rsidP="008208C8">
      <w:pPr>
        <w:numPr>
          <w:ilvl w:val="2"/>
          <w:numId w:val="1"/>
        </w:numPr>
        <w:tabs>
          <w:tab w:val="clear" w:pos="1211"/>
          <w:tab w:val="num" w:pos="1080"/>
        </w:tabs>
        <w:ind w:left="0" w:firstLine="720"/>
        <w:jc w:val="both"/>
      </w:pPr>
      <w:r w:rsidRPr="000A284C">
        <w:t xml:space="preserve">формирование официальной статистической информации, содержащей комплексную характеристику межотраслевых связей и структурных пропорций экономики Российской Федерации в детализированных разрезах отраслей и продукции, основанных на </w:t>
      </w:r>
      <w:r>
        <w:t>действующих классификациях видов экономической деятельности и продуктов;</w:t>
      </w:r>
    </w:p>
    <w:p w:rsidR="008208C8" w:rsidRPr="000A284C" w:rsidRDefault="008208C8" w:rsidP="008208C8">
      <w:pPr>
        <w:numPr>
          <w:ilvl w:val="2"/>
          <w:numId w:val="1"/>
        </w:numPr>
        <w:tabs>
          <w:tab w:val="clear" w:pos="1211"/>
          <w:tab w:val="num" w:pos="1080"/>
        </w:tabs>
        <w:ind w:left="0" w:firstLine="720"/>
        <w:jc w:val="both"/>
      </w:pPr>
      <w:r w:rsidRPr="000A284C">
        <w:t>повышение качества и надежности статистических оценок основных макро</w:t>
      </w:r>
      <w:r>
        <w:t>экономических показателей и, в частности, валового внутреннего продукта;</w:t>
      </w:r>
      <w:r w:rsidRPr="000A284C">
        <w:t xml:space="preserve"> </w:t>
      </w:r>
    </w:p>
    <w:p w:rsidR="008208C8" w:rsidRPr="00233FC4" w:rsidRDefault="008208C8" w:rsidP="008208C8">
      <w:pPr>
        <w:numPr>
          <w:ilvl w:val="2"/>
          <w:numId w:val="1"/>
        </w:numPr>
        <w:tabs>
          <w:tab w:val="clear" w:pos="1211"/>
          <w:tab w:val="num" w:pos="1080"/>
        </w:tabs>
        <w:ind w:left="0" w:firstLine="720"/>
        <w:jc w:val="both"/>
      </w:pPr>
      <w:r w:rsidRPr="00233FC4">
        <w:t xml:space="preserve">создание надежной базы для разработки ежегодных таблиц </w:t>
      </w:r>
      <w:r>
        <w:t>ресурсов и использования</w:t>
      </w:r>
      <w:r w:rsidRPr="00233FC4">
        <w:t>;</w:t>
      </w:r>
    </w:p>
    <w:p w:rsidR="008208C8" w:rsidRPr="00233FC4" w:rsidRDefault="008208C8" w:rsidP="008208C8">
      <w:pPr>
        <w:numPr>
          <w:ilvl w:val="2"/>
          <w:numId w:val="1"/>
        </w:numPr>
        <w:tabs>
          <w:tab w:val="clear" w:pos="1211"/>
          <w:tab w:val="num" w:pos="1080"/>
        </w:tabs>
        <w:ind w:left="0" w:firstLine="720"/>
        <w:jc w:val="both"/>
      </w:pPr>
      <w:r w:rsidRPr="00233FC4">
        <w:t xml:space="preserve">уточнение параметров ненаблюдаемой экономики в разрезе групп товаров и услуг на основе </w:t>
      </w:r>
      <w:r>
        <w:t>балансового метода</w:t>
      </w:r>
      <w:r w:rsidRPr="00233FC4">
        <w:t>;</w:t>
      </w:r>
    </w:p>
    <w:p w:rsidR="008208C8" w:rsidRPr="00233FC4" w:rsidRDefault="008208C8" w:rsidP="008208C8">
      <w:pPr>
        <w:numPr>
          <w:ilvl w:val="2"/>
          <w:numId w:val="1"/>
        </w:numPr>
        <w:tabs>
          <w:tab w:val="clear" w:pos="1211"/>
          <w:tab w:val="num" w:pos="1080"/>
        </w:tabs>
        <w:ind w:left="0" w:firstLine="720"/>
        <w:jc w:val="both"/>
      </w:pPr>
      <w:r w:rsidRPr="00233FC4">
        <w:t xml:space="preserve">создание информационной основы для разработки </w:t>
      </w:r>
      <w:proofErr w:type="spellStart"/>
      <w:r w:rsidRPr="00233FC4">
        <w:t>сателлитных</w:t>
      </w:r>
      <w:proofErr w:type="spellEnd"/>
      <w:r w:rsidRPr="00233FC4">
        <w:t xml:space="preserve"> счетов (туризма, сельского хозяйства, здравоохранения и т.д.); </w:t>
      </w:r>
    </w:p>
    <w:p w:rsidR="008208C8" w:rsidRPr="00233FC4" w:rsidRDefault="008208C8" w:rsidP="008208C8">
      <w:pPr>
        <w:numPr>
          <w:ilvl w:val="2"/>
          <w:numId w:val="1"/>
        </w:numPr>
        <w:tabs>
          <w:tab w:val="clear" w:pos="1211"/>
          <w:tab w:val="num" w:pos="1080"/>
        </w:tabs>
        <w:ind w:left="0" w:firstLine="720"/>
        <w:jc w:val="both"/>
      </w:pPr>
      <w:r w:rsidRPr="00233FC4">
        <w:t>получение инструмента для осуществления прогнозирования экономики в целях выработки экономической политики государства:</w:t>
      </w:r>
    </w:p>
    <w:p w:rsidR="008208C8" w:rsidRPr="00233FC4" w:rsidRDefault="008208C8" w:rsidP="008208C8">
      <w:pPr>
        <w:numPr>
          <w:ilvl w:val="2"/>
          <w:numId w:val="1"/>
        </w:numPr>
        <w:tabs>
          <w:tab w:val="clear" w:pos="1211"/>
          <w:tab w:val="num" w:pos="1080"/>
        </w:tabs>
        <w:ind w:left="0" w:firstLine="720"/>
        <w:jc w:val="both"/>
      </w:pPr>
      <w:r w:rsidRPr="00233FC4">
        <w:t xml:space="preserve">проведение сценарных расчетов развития экономики, для оценки влияния различных факторов (снижение импорта, рост цен на отдельные виды продукции, изменение ставок налогов, увеличение конечного спроса на отдельные товары и услуги </w:t>
      </w:r>
      <w:r>
        <w:t>и т.д.) и др.</w:t>
      </w:r>
    </w:p>
    <w:p w:rsidR="008208C8" w:rsidRDefault="008208C8" w:rsidP="008208C8">
      <w:pPr>
        <w:ind w:firstLine="851"/>
        <w:jc w:val="both"/>
      </w:pPr>
      <w:r>
        <w:t>Т</w:t>
      </w:r>
      <w:r w:rsidRPr="00233FC4">
        <w:t>аблицы «</w:t>
      </w:r>
      <w:proofErr w:type="gramStart"/>
      <w:r w:rsidRPr="00233FC4">
        <w:t>затраты-выпуск</w:t>
      </w:r>
      <w:proofErr w:type="gramEnd"/>
      <w:r w:rsidRPr="00233FC4">
        <w:t>» разрабатыва</w:t>
      </w:r>
      <w:r>
        <w:t>ют</w:t>
      </w:r>
      <w:r w:rsidRPr="00233FC4">
        <w:t>ся в соответствии  с</w:t>
      </w:r>
      <w:r>
        <w:t xml:space="preserve"> методологией</w:t>
      </w:r>
      <w:r w:rsidRPr="000A284C">
        <w:t xml:space="preserve"> </w:t>
      </w:r>
      <w:r>
        <w:t xml:space="preserve">обновленной версии Системы национальных счетов </w:t>
      </w:r>
      <w:r w:rsidRPr="00233FC4">
        <w:t xml:space="preserve"> </w:t>
      </w:r>
      <w:r>
        <w:t>ООН 2008 года и алгоритмами</w:t>
      </w:r>
      <w:r w:rsidRPr="00233FC4">
        <w:t xml:space="preserve">, </w:t>
      </w:r>
      <w:r w:rsidRPr="00233FC4">
        <w:lastRenderedPageBreak/>
        <w:t>изложенными в руководствах по составлению таблиц «затраты-выпуск» ООН</w:t>
      </w:r>
      <w:r w:rsidRPr="00233FC4">
        <w:rPr>
          <w:rStyle w:val="a7"/>
        </w:rPr>
        <w:footnoteReference w:id="1"/>
      </w:r>
      <w:r w:rsidRPr="00233FC4">
        <w:t xml:space="preserve"> и </w:t>
      </w:r>
      <w:proofErr w:type="spellStart"/>
      <w:r w:rsidRPr="00233FC4">
        <w:t>Евростата</w:t>
      </w:r>
      <w:proofErr w:type="spellEnd"/>
      <w:r w:rsidRPr="00233FC4">
        <w:rPr>
          <w:rStyle w:val="a7"/>
        </w:rPr>
        <w:footnoteReference w:id="2"/>
      </w:r>
      <w:r>
        <w:t>, с</w:t>
      </w:r>
      <w:r w:rsidRPr="00233FC4">
        <w:t xml:space="preserve"> учетом особенностей российской информационной базы. </w:t>
      </w:r>
    </w:p>
    <w:p w:rsidR="008208C8" w:rsidRDefault="008208C8" w:rsidP="008208C8">
      <w:pPr>
        <w:ind w:firstLine="851"/>
        <w:jc w:val="both"/>
      </w:pPr>
      <w:r>
        <w:t>В этих таблицах используются те же определения, концепции, источники информации и алгоритмы расчета показателей, что и в СНС.</w:t>
      </w:r>
    </w:p>
    <w:p w:rsidR="008208C8" w:rsidRPr="00233FC4" w:rsidRDefault="008208C8" w:rsidP="008208C8">
      <w:pPr>
        <w:spacing w:before="120" w:after="120"/>
        <w:ind w:firstLine="720"/>
        <w:jc w:val="both"/>
      </w:pPr>
      <w:r w:rsidRPr="00233FC4">
        <w:t>Ниже приведены определения основных показателей таблиц «</w:t>
      </w:r>
      <w:proofErr w:type="gramStart"/>
      <w:r w:rsidRPr="00233FC4">
        <w:t>затраты-выпуск</w:t>
      </w:r>
      <w:proofErr w:type="gramEnd"/>
      <w:r w:rsidRPr="00233FC4">
        <w:t>».</w:t>
      </w:r>
    </w:p>
    <w:p w:rsidR="008208C8" w:rsidRPr="00233FC4" w:rsidRDefault="008208C8" w:rsidP="008208C8">
      <w:pPr>
        <w:spacing w:before="120" w:after="120"/>
        <w:ind w:firstLine="720"/>
        <w:jc w:val="both"/>
      </w:pPr>
      <w:r w:rsidRPr="00233FC4">
        <w:rPr>
          <w:b/>
        </w:rPr>
        <w:t xml:space="preserve">Выпуск </w:t>
      </w:r>
      <w:r w:rsidRPr="00233FC4">
        <w:t>товаров и услуг представляет собой суммарную стоимость товаров и услуг, являющихся результатом производственной деятельности единиц-рези</w:t>
      </w:r>
      <w:r w:rsidRPr="00233FC4">
        <w:softHyphen/>
        <w:t>дентов национальной экономики в отчетном периоде. Реализованные товары и услуги включаются в выпуск по фактической рыночной стоимости, нереализованная готовая продукция - по средним рыночным ценам. Изменение незавершенного производства включается в валовой выпуск по себестоимости.</w:t>
      </w:r>
    </w:p>
    <w:p w:rsidR="008208C8" w:rsidRPr="00233FC4" w:rsidRDefault="008208C8" w:rsidP="008208C8">
      <w:pPr>
        <w:spacing w:before="120" w:after="120"/>
        <w:ind w:firstLine="720"/>
        <w:jc w:val="both"/>
      </w:pPr>
      <w:r w:rsidRPr="00233FC4">
        <w:rPr>
          <w:b/>
        </w:rPr>
        <w:t>Промежуточное потребление</w:t>
      </w:r>
      <w:r w:rsidRPr="00233FC4">
        <w:t xml:space="preserve"> состоит из стоимости товаров и услуг, которые тран</w:t>
      </w:r>
      <w:r w:rsidRPr="00233FC4">
        <w:softHyphen/>
        <w:t>сформируются или полностью потребляются в процессе производства в отчетном пери</w:t>
      </w:r>
      <w:r w:rsidRPr="00233FC4">
        <w:softHyphen/>
        <w:t>оде. Потребление основного капитала не входит в состав промежуточного пот</w:t>
      </w:r>
      <w:r w:rsidRPr="00233FC4">
        <w:softHyphen/>
        <w:t>ребления.</w:t>
      </w:r>
    </w:p>
    <w:p w:rsidR="008208C8" w:rsidRPr="00233FC4" w:rsidRDefault="008208C8" w:rsidP="008208C8">
      <w:pPr>
        <w:spacing w:before="120" w:after="120"/>
        <w:ind w:firstLine="720"/>
        <w:jc w:val="both"/>
      </w:pPr>
      <w:r w:rsidRPr="00233FC4">
        <w:rPr>
          <w:b/>
        </w:rPr>
        <w:t>Валовая добавленная стоимость</w:t>
      </w:r>
      <w:r w:rsidRPr="00233FC4">
        <w:t xml:space="preserve"> исчисляется на уровне отраслей и секторов как разность между выпуском товаров и услуг и промежуточным потреблением. Термин «валовая» ука</w:t>
      </w:r>
      <w:r w:rsidRPr="00233FC4">
        <w:softHyphen/>
        <w:t>зывает на то, что показатель определен до вычета потребления основного капитала.</w:t>
      </w:r>
    </w:p>
    <w:p w:rsidR="008208C8" w:rsidRPr="00233FC4" w:rsidRDefault="008208C8" w:rsidP="008208C8">
      <w:pPr>
        <w:pStyle w:val="a8"/>
        <w:ind w:left="0" w:firstLine="720"/>
        <w:jc w:val="both"/>
        <w:rPr>
          <w:rFonts w:ascii="Times New Roman" w:eastAsia="Times New Roman" w:hAnsi="Times New Roman" w:cs="Times New Roman"/>
          <w:color w:val="auto"/>
          <w:sz w:val="24"/>
          <w:szCs w:val="24"/>
        </w:rPr>
      </w:pPr>
      <w:r w:rsidRPr="00233FC4">
        <w:rPr>
          <w:rFonts w:ascii="Times New Roman" w:eastAsia="Times New Roman" w:hAnsi="Times New Roman" w:cs="Times New Roman"/>
          <w:b/>
          <w:color w:val="auto"/>
          <w:sz w:val="24"/>
          <w:szCs w:val="24"/>
        </w:rPr>
        <w:t xml:space="preserve">Валовой внутренний продукт </w:t>
      </w:r>
      <w:r w:rsidRPr="00233FC4">
        <w:rPr>
          <w:rFonts w:ascii="Times New Roman" w:eastAsia="Times New Roman" w:hAnsi="Times New Roman" w:cs="Times New Roman"/>
          <w:color w:val="auto"/>
          <w:sz w:val="24"/>
          <w:szCs w:val="24"/>
        </w:rPr>
        <w:t>характеризует стоимость товаров и услуг, произведенных в стране во всех отраслях экономики и предназначенных для конечного потребления, накопления и экспорта (за вычетом импорта). Этот показатель, измеряющий конечные результаты экономической деятельности страны, применяется для характеристики уровня и темпов развития экономики</w:t>
      </w:r>
    </w:p>
    <w:p w:rsidR="008208C8" w:rsidRPr="00233FC4" w:rsidRDefault="008208C8" w:rsidP="008208C8">
      <w:pPr>
        <w:pStyle w:val="a8"/>
        <w:ind w:left="0" w:right="147" w:firstLine="720"/>
        <w:jc w:val="both"/>
        <w:rPr>
          <w:rFonts w:ascii="Times New Roman" w:eastAsia="Times New Roman" w:hAnsi="Times New Roman" w:cs="Times New Roman"/>
          <w:color w:val="auto"/>
          <w:sz w:val="24"/>
          <w:szCs w:val="24"/>
        </w:rPr>
      </w:pPr>
      <w:r w:rsidRPr="00233FC4">
        <w:rPr>
          <w:rFonts w:ascii="Times New Roman" w:eastAsia="Times New Roman" w:hAnsi="Times New Roman" w:cs="Times New Roman"/>
          <w:color w:val="auto"/>
          <w:sz w:val="24"/>
          <w:szCs w:val="24"/>
        </w:rPr>
        <w:t>ВВП может быть рассчитан тремя методами: производственным, методом использования доходов и методом формирования ВВП по источникам доходов.</w:t>
      </w:r>
    </w:p>
    <w:p w:rsidR="008208C8" w:rsidRPr="00233FC4" w:rsidRDefault="008208C8" w:rsidP="008208C8">
      <w:pPr>
        <w:pStyle w:val="a8"/>
        <w:ind w:left="0" w:right="147" w:firstLine="720"/>
        <w:jc w:val="both"/>
        <w:rPr>
          <w:rFonts w:ascii="Times New Roman" w:eastAsia="Times New Roman" w:hAnsi="Times New Roman" w:cs="Times New Roman"/>
          <w:color w:val="auto"/>
          <w:sz w:val="24"/>
          <w:szCs w:val="24"/>
        </w:rPr>
      </w:pPr>
      <w:r w:rsidRPr="00233FC4">
        <w:rPr>
          <w:rFonts w:ascii="Times New Roman" w:eastAsia="Times New Roman" w:hAnsi="Times New Roman" w:cs="Times New Roman"/>
          <w:color w:val="auto"/>
          <w:sz w:val="24"/>
          <w:szCs w:val="24"/>
        </w:rPr>
        <w:t>При расчете производственным методом ВВП определяется как разность между выпуском товаров и услуг в целом по стране, с одной стороны, и промежуточным потреблением - с другой, или как сумма добавленных стоимостей, создаваемых в отраслях экономики. При этом объемы добавленной стоимости по отраслям рассчитываются в основных ценах, т.е. не включают налоги на продукты, но включают субсидии на продукты. Для расчета ВВП в рыночных ценах необходимо добавить чистые (за вычетом субсидий) налоги на продукты.</w:t>
      </w:r>
    </w:p>
    <w:p w:rsidR="008208C8" w:rsidRPr="00233FC4" w:rsidRDefault="008208C8" w:rsidP="008208C8">
      <w:pPr>
        <w:pStyle w:val="a8"/>
        <w:ind w:left="0" w:right="147" w:firstLine="720"/>
        <w:jc w:val="both"/>
        <w:rPr>
          <w:rFonts w:ascii="Times New Roman" w:eastAsia="Times New Roman" w:hAnsi="Times New Roman" w:cs="Times New Roman"/>
          <w:color w:val="auto"/>
          <w:sz w:val="24"/>
          <w:szCs w:val="24"/>
        </w:rPr>
      </w:pPr>
      <w:r w:rsidRPr="00233FC4">
        <w:rPr>
          <w:rFonts w:ascii="Times New Roman" w:eastAsia="Times New Roman" w:hAnsi="Times New Roman" w:cs="Times New Roman"/>
          <w:color w:val="auto"/>
          <w:sz w:val="24"/>
          <w:szCs w:val="24"/>
        </w:rPr>
        <w:t>ВВП, рассчитанный методом использования доходов, представляет сумму расходов всех институциональных единиц - резидентов данной страны на конечное потребление, валовое накопление и чистый экспорт.</w:t>
      </w:r>
    </w:p>
    <w:p w:rsidR="008208C8" w:rsidRPr="00233FC4" w:rsidRDefault="008208C8" w:rsidP="008208C8">
      <w:pPr>
        <w:pStyle w:val="a8"/>
        <w:ind w:left="0" w:right="147" w:firstLine="720"/>
        <w:jc w:val="both"/>
        <w:rPr>
          <w:rFonts w:ascii="Times New Roman" w:eastAsia="Times New Roman" w:hAnsi="Times New Roman" w:cs="Times New Roman"/>
          <w:color w:val="auto"/>
          <w:sz w:val="24"/>
          <w:szCs w:val="24"/>
        </w:rPr>
      </w:pPr>
      <w:r w:rsidRPr="00233FC4">
        <w:rPr>
          <w:rFonts w:ascii="Times New Roman" w:eastAsia="Times New Roman" w:hAnsi="Times New Roman" w:cs="Times New Roman"/>
          <w:color w:val="auto"/>
          <w:sz w:val="24"/>
          <w:szCs w:val="24"/>
        </w:rPr>
        <w:t xml:space="preserve">Формирование ВВП по источникам доходов отражает первичные доходы, созданные в процессе производства всеми институциональными единицами, сгруппированными в сектора экономики. В этом расчете валовая прибыль (валовой смешанный доход) является балансирующей статьей и определяется как разница между валовым внутренним продуктом, рассчитанным производственным методом в рыночных </w:t>
      </w:r>
      <w:r w:rsidRPr="00233FC4">
        <w:rPr>
          <w:rFonts w:ascii="Times New Roman" w:eastAsia="Times New Roman" w:hAnsi="Times New Roman" w:cs="Times New Roman"/>
          <w:color w:val="auto"/>
          <w:sz w:val="24"/>
          <w:szCs w:val="24"/>
        </w:rPr>
        <w:lastRenderedPageBreak/>
        <w:t>ценах, оплатой труда наемных работников и чистыми налогами на производство и импорт.</w:t>
      </w:r>
    </w:p>
    <w:p w:rsidR="008208C8" w:rsidRPr="00233FC4" w:rsidRDefault="008208C8" w:rsidP="008208C8">
      <w:pPr>
        <w:pStyle w:val="a8"/>
        <w:ind w:left="0" w:right="147" w:firstLine="720"/>
        <w:jc w:val="both"/>
        <w:rPr>
          <w:rFonts w:ascii="Times New Roman" w:eastAsia="Times New Roman" w:hAnsi="Times New Roman" w:cs="Times New Roman"/>
          <w:color w:val="auto"/>
          <w:sz w:val="24"/>
          <w:szCs w:val="24"/>
        </w:rPr>
      </w:pPr>
      <w:r w:rsidRPr="00233FC4">
        <w:rPr>
          <w:rFonts w:ascii="Times New Roman" w:eastAsia="Times New Roman" w:hAnsi="Times New Roman" w:cs="Times New Roman"/>
          <w:color w:val="auto"/>
          <w:sz w:val="24"/>
          <w:szCs w:val="24"/>
        </w:rPr>
        <w:t xml:space="preserve">В таблицах </w:t>
      </w:r>
      <w:r>
        <w:rPr>
          <w:rFonts w:ascii="Times New Roman" w:eastAsia="Times New Roman" w:hAnsi="Times New Roman" w:cs="Times New Roman"/>
          <w:color w:val="auto"/>
          <w:sz w:val="24"/>
          <w:szCs w:val="24"/>
        </w:rPr>
        <w:t xml:space="preserve">ресурсов и использования </w:t>
      </w:r>
      <w:r w:rsidRPr="00233FC4">
        <w:rPr>
          <w:rFonts w:ascii="Times New Roman" w:eastAsia="Times New Roman" w:hAnsi="Times New Roman" w:cs="Times New Roman"/>
          <w:color w:val="auto"/>
          <w:sz w:val="24"/>
          <w:szCs w:val="24"/>
        </w:rPr>
        <w:t>ВВП производственным методом в основных ценах рассчитывается как разность между выпуском продукции и промежуточным потреблением в целом по стране или как сумма добавленных стоимостей, созданных во всех отраслях экономики. ВВП в рыночных ценах представляет собой сумму ВВП в основных ценах плюс чистые налоги на продукты.</w:t>
      </w:r>
    </w:p>
    <w:p w:rsidR="008208C8" w:rsidRPr="00233FC4" w:rsidRDefault="008208C8" w:rsidP="008208C8">
      <w:pPr>
        <w:pStyle w:val="a8"/>
        <w:ind w:left="0" w:right="147" w:firstLine="720"/>
        <w:jc w:val="both"/>
        <w:rPr>
          <w:rFonts w:ascii="Times New Roman" w:eastAsia="Times New Roman" w:hAnsi="Times New Roman" w:cs="Times New Roman"/>
          <w:color w:val="auto"/>
          <w:sz w:val="24"/>
          <w:szCs w:val="24"/>
        </w:rPr>
      </w:pPr>
      <w:r w:rsidRPr="00233FC4">
        <w:rPr>
          <w:rFonts w:ascii="Times New Roman" w:eastAsia="Times New Roman" w:hAnsi="Times New Roman" w:cs="Times New Roman"/>
          <w:color w:val="auto"/>
          <w:sz w:val="24"/>
          <w:szCs w:val="24"/>
        </w:rPr>
        <w:t>ВВП методом использования доходов рассчитывается как сумма расходов на конечное потребление домашних хозяйств, расходов государственного управления на индивидуальные товары и услуги, расходов государственного управления на коллективные услуги, расходов на конечное потребление некоммерческих организаций, обслуживаю</w:t>
      </w:r>
      <w:r w:rsidRPr="00233FC4">
        <w:rPr>
          <w:rFonts w:ascii="Times New Roman" w:eastAsia="Times New Roman" w:hAnsi="Times New Roman" w:cs="Times New Roman"/>
          <w:color w:val="auto"/>
          <w:sz w:val="24"/>
          <w:szCs w:val="24"/>
        </w:rPr>
        <w:softHyphen/>
        <w:t>щих домашние хозяйства, валового накопления и чистого экспорта.</w:t>
      </w:r>
    </w:p>
    <w:p w:rsidR="008208C8" w:rsidRPr="00233FC4" w:rsidRDefault="008208C8" w:rsidP="008208C8">
      <w:pPr>
        <w:pStyle w:val="a8"/>
        <w:ind w:left="0" w:right="147" w:firstLine="720"/>
        <w:jc w:val="both"/>
        <w:rPr>
          <w:rFonts w:ascii="Times New Roman" w:eastAsia="Times New Roman" w:hAnsi="Times New Roman" w:cs="Times New Roman"/>
          <w:color w:val="auto"/>
          <w:sz w:val="24"/>
          <w:szCs w:val="24"/>
        </w:rPr>
      </w:pPr>
      <w:r w:rsidRPr="00233FC4">
        <w:rPr>
          <w:rFonts w:ascii="Times New Roman" w:eastAsia="Times New Roman" w:hAnsi="Times New Roman" w:cs="Times New Roman"/>
          <w:color w:val="auto"/>
          <w:sz w:val="24"/>
          <w:szCs w:val="24"/>
        </w:rPr>
        <w:t>ВВП по источникам доходов равен сумме оплаты труда наемных работников, валовой прибыли, валового смешанного дохода и чистых налогов на производство и импорт.</w:t>
      </w:r>
    </w:p>
    <w:p w:rsidR="008208C8" w:rsidRPr="00233FC4" w:rsidRDefault="008208C8" w:rsidP="008208C8">
      <w:pPr>
        <w:pStyle w:val="a8"/>
        <w:ind w:left="0" w:right="147" w:firstLine="720"/>
        <w:jc w:val="both"/>
        <w:rPr>
          <w:rFonts w:ascii="Times New Roman" w:eastAsia="Times New Roman" w:hAnsi="Times New Roman" w:cs="Times New Roman"/>
          <w:color w:val="auto"/>
          <w:sz w:val="24"/>
          <w:szCs w:val="24"/>
        </w:rPr>
      </w:pPr>
      <w:r w:rsidRPr="00233FC4">
        <w:rPr>
          <w:rFonts w:ascii="Times New Roman" w:eastAsia="Times New Roman" w:hAnsi="Times New Roman" w:cs="Times New Roman"/>
          <w:color w:val="auto"/>
          <w:sz w:val="24"/>
          <w:szCs w:val="24"/>
        </w:rPr>
        <w:t xml:space="preserve">В таблицах </w:t>
      </w:r>
      <w:r>
        <w:rPr>
          <w:rFonts w:ascii="Times New Roman" w:eastAsia="Times New Roman" w:hAnsi="Times New Roman" w:cs="Times New Roman"/>
          <w:color w:val="auto"/>
          <w:sz w:val="24"/>
          <w:szCs w:val="24"/>
        </w:rPr>
        <w:t>ресурсов и использования</w:t>
      </w:r>
      <w:r w:rsidRPr="00233FC4">
        <w:rPr>
          <w:rFonts w:ascii="Times New Roman" w:eastAsia="Times New Roman" w:hAnsi="Times New Roman" w:cs="Times New Roman"/>
          <w:color w:val="auto"/>
          <w:sz w:val="24"/>
          <w:szCs w:val="24"/>
        </w:rPr>
        <w:t xml:space="preserve"> значения ВВП, рассчитанные тремя методами, равны между собой.</w:t>
      </w:r>
    </w:p>
    <w:p w:rsidR="008208C8" w:rsidRPr="00233FC4" w:rsidRDefault="008208C8" w:rsidP="008208C8">
      <w:pPr>
        <w:spacing w:before="120" w:after="120"/>
        <w:ind w:firstLine="720"/>
        <w:jc w:val="both"/>
      </w:pPr>
      <w:r w:rsidRPr="00233FC4">
        <w:rPr>
          <w:b/>
        </w:rPr>
        <w:t>Оплата труда</w:t>
      </w:r>
      <w:r w:rsidRPr="00233FC4">
        <w:t xml:space="preserve"> наемных работников представляет собой вознаграждение в денежной или натуральной форме, выплачиваемое работодателем наемному работнику за работу, выполненную в отчетном периоде.</w:t>
      </w:r>
    </w:p>
    <w:p w:rsidR="008208C8" w:rsidRPr="00233FC4" w:rsidRDefault="008208C8" w:rsidP="008208C8">
      <w:pPr>
        <w:pStyle w:val="3"/>
        <w:ind w:left="0" w:firstLine="720"/>
        <w:jc w:val="both"/>
        <w:rPr>
          <w:sz w:val="24"/>
          <w:szCs w:val="24"/>
        </w:rPr>
      </w:pPr>
      <w:r w:rsidRPr="00233FC4">
        <w:rPr>
          <w:b/>
          <w:sz w:val="24"/>
          <w:szCs w:val="24"/>
        </w:rPr>
        <w:t>Налоги на производство и импорт</w:t>
      </w:r>
      <w:r w:rsidRPr="00233FC4">
        <w:rPr>
          <w:sz w:val="24"/>
          <w:szCs w:val="24"/>
        </w:rPr>
        <w:t xml:space="preserve"> – это обязательные безвозмездные невозвратные платежи, взимаемые органами государственного управления с производящих единиц в связи с производством и импортом товаров и услуг или использованием факторов производства. Налоги на производство и импорт состоят из налогов на продукты и других налогов на производство.</w:t>
      </w:r>
    </w:p>
    <w:p w:rsidR="008208C8" w:rsidRPr="00233FC4" w:rsidRDefault="008208C8" w:rsidP="008208C8">
      <w:pPr>
        <w:spacing w:before="120"/>
        <w:ind w:firstLine="709"/>
        <w:jc w:val="both"/>
      </w:pPr>
      <w:r w:rsidRPr="00233FC4">
        <w:rPr>
          <w:b/>
        </w:rPr>
        <w:t>Налоги на продукты</w:t>
      </w:r>
      <w:r w:rsidRPr="00233FC4">
        <w:t xml:space="preserve"> – это налоги, взимаемые пропорционально количеству или стоимости товаров и услуг, производимых, продаваемых или импортируемых резидентами. К ним относятся: налог на добавленную стоимость (НДС), акцизы, налоги на импортируемые товары и услуги и т.п.</w:t>
      </w:r>
    </w:p>
    <w:p w:rsidR="008208C8" w:rsidRPr="00233FC4" w:rsidRDefault="008208C8" w:rsidP="008208C8">
      <w:pPr>
        <w:spacing w:before="120"/>
        <w:ind w:firstLine="709"/>
        <w:jc w:val="both"/>
      </w:pPr>
      <w:r w:rsidRPr="00233FC4">
        <w:rPr>
          <w:b/>
        </w:rPr>
        <w:t>Другие налоги на производство</w:t>
      </w:r>
      <w:r w:rsidRPr="00233FC4">
        <w:t xml:space="preserve"> - это налоги, связанные с использованием факторов производства (труда, земли, капитала), а также платежи за лицензии и разрешение заниматься какой-либо деятельностью или другие обязательные платежи, уплата которых необходима для деятельности производящей единицы-резидента. Они не включают любые налоги на прибыль или иные доходы, получаемые пред</w:t>
      </w:r>
      <w:r w:rsidRPr="00233FC4">
        <w:softHyphen/>
        <w:t>приятием. К другим налогам на производство относятся: налог на имущество предприятий, транспортный налог (юридических лиц и индивидуальных предпринимателей), налоги на землю, налоги, взимаемые от фонда оплаты труда, лицензионные сборы и некоторые другие.</w:t>
      </w:r>
    </w:p>
    <w:p w:rsidR="008208C8" w:rsidRPr="00233FC4" w:rsidRDefault="008208C8" w:rsidP="008208C8">
      <w:pPr>
        <w:spacing w:before="120"/>
        <w:ind w:firstLine="709"/>
        <w:jc w:val="both"/>
      </w:pPr>
      <w:r w:rsidRPr="00233FC4">
        <w:rPr>
          <w:b/>
        </w:rPr>
        <w:t>Субсидии на производство и импорт</w:t>
      </w:r>
      <w:r w:rsidRPr="00233FC4">
        <w:t xml:space="preserve"> – это текущие безвозмездные невозвратные платежи, которые государство производит предприятиям в связи с производством, продажей или импортом товаров и услуг или использованием факторов производства для проведения определенной экономической и социальной политики. Субсидии на производство и импорт состоят из субсидий на продукты и других субсидий на производство.</w:t>
      </w:r>
    </w:p>
    <w:p w:rsidR="008208C8" w:rsidRPr="00233FC4" w:rsidRDefault="008208C8" w:rsidP="008208C8">
      <w:pPr>
        <w:spacing w:before="120"/>
        <w:ind w:firstLine="709"/>
        <w:jc w:val="both"/>
      </w:pPr>
      <w:r w:rsidRPr="00233FC4">
        <w:rPr>
          <w:b/>
        </w:rPr>
        <w:t>Субсидии на продукты</w:t>
      </w:r>
      <w:r w:rsidRPr="00233FC4">
        <w:t xml:space="preserve"> – это субсидии, выплачиваемые обычно за единицу произведенного товара или услуги, то есть пропорционально количеству или стоимости </w:t>
      </w:r>
      <w:r w:rsidRPr="00233FC4">
        <w:lastRenderedPageBreak/>
        <w:t>товаров и услуг, производимых, продаваемых или импортируемых предприятиями-резидентами.</w:t>
      </w:r>
    </w:p>
    <w:p w:rsidR="008208C8" w:rsidRPr="00233FC4" w:rsidRDefault="008208C8" w:rsidP="008208C8">
      <w:pPr>
        <w:spacing w:before="120"/>
        <w:ind w:firstLine="709"/>
        <w:jc w:val="both"/>
      </w:pPr>
      <w:r w:rsidRPr="00233FC4">
        <w:rPr>
          <w:b/>
        </w:rPr>
        <w:t>Другие субсидии на производство</w:t>
      </w:r>
      <w:r w:rsidRPr="00233FC4">
        <w:t xml:space="preserve"> состоят из субсидий, которые предприятия получают от государственного управления в связи с использованием факторов производства.</w:t>
      </w:r>
    </w:p>
    <w:p w:rsidR="008208C8" w:rsidRPr="00233FC4" w:rsidRDefault="008208C8" w:rsidP="008208C8">
      <w:pPr>
        <w:spacing w:before="120"/>
        <w:ind w:firstLine="709"/>
        <w:jc w:val="both"/>
      </w:pPr>
      <w:r w:rsidRPr="00233FC4">
        <w:rPr>
          <w:b/>
        </w:rPr>
        <w:t>Чистые налоги</w:t>
      </w:r>
      <w:r w:rsidRPr="00233FC4">
        <w:t xml:space="preserve"> – налоги за вычетом соответствующих субсидий.</w:t>
      </w:r>
    </w:p>
    <w:p w:rsidR="008208C8" w:rsidRPr="00233FC4" w:rsidRDefault="008208C8" w:rsidP="008208C8">
      <w:pPr>
        <w:spacing w:before="120"/>
        <w:ind w:firstLine="709"/>
        <w:jc w:val="both"/>
      </w:pPr>
      <w:r w:rsidRPr="00233FC4">
        <w:rPr>
          <w:b/>
        </w:rPr>
        <w:t>Валовая прибыль</w:t>
      </w:r>
      <w:r w:rsidRPr="00233FC4">
        <w:t xml:space="preserve"> представляет собой ту часть добавленной стоимости, которая остается у производителей после вычета расходов, связанных с оплатой труда наемных работников, и чистых налогов на производство и импорт. Эта статья измеряет прибыль (или убыток), полученную от производства, до учета выплаты или получения доходов от собственности. Для </w:t>
      </w:r>
      <w:proofErr w:type="spellStart"/>
      <w:r w:rsidRPr="00233FC4">
        <w:t>некорпорированных</w:t>
      </w:r>
      <w:proofErr w:type="spellEnd"/>
      <w:r w:rsidRPr="00233FC4">
        <w:t xml:space="preserve"> предприятий, принадлежащих домашним хозяйствам, эта статья содержит элемент вознаграждения за работу, который не может быть отделен от дохода владельца или предпринимателя. В этом случае она называется валовым смешанным доходом.</w:t>
      </w:r>
    </w:p>
    <w:p w:rsidR="008208C8" w:rsidRPr="00233FC4" w:rsidRDefault="008208C8" w:rsidP="008208C8">
      <w:pPr>
        <w:spacing w:before="120"/>
        <w:ind w:firstLine="709"/>
        <w:jc w:val="both"/>
      </w:pPr>
      <w:r w:rsidRPr="00233FC4">
        <w:rPr>
          <w:b/>
        </w:rPr>
        <w:t>Потребление основного капитала</w:t>
      </w:r>
      <w:r w:rsidRPr="00233FC4">
        <w:t xml:space="preserve"> – стоимостная оценка величины снижения в течение отчетного периода текущей стоимости основных фондов, находящихся в собственности и пользовании производителей, в результате физического износа, нормального устаревания или естественных случайных повреждений.</w:t>
      </w:r>
    </w:p>
    <w:p w:rsidR="008208C8" w:rsidRPr="00233FC4" w:rsidRDefault="008208C8" w:rsidP="008208C8">
      <w:pPr>
        <w:spacing w:before="120"/>
        <w:ind w:firstLine="709"/>
        <w:jc w:val="both"/>
      </w:pPr>
      <w:r w:rsidRPr="00233FC4">
        <w:rPr>
          <w:b/>
        </w:rPr>
        <w:t>Чистая прибыль</w:t>
      </w:r>
      <w:r w:rsidRPr="00233FC4">
        <w:t xml:space="preserve"> равняется валовой прибыли за вычетом потребления основного капитала. </w:t>
      </w:r>
    </w:p>
    <w:p w:rsidR="008208C8" w:rsidRPr="00233FC4" w:rsidRDefault="008208C8" w:rsidP="008208C8">
      <w:pPr>
        <w:spacing w:before="120"/>
        <w:ind w:firstLine="709"/>
        <w:jc w:val="both"/>
      </w:pPr>
      <w:r w:rsidRPr="00233FC4">
        <w:rPr>
          <w:b/>
        </w:rPr>
        <w:t>Конечное потребление</w:t>
      </w:r>
      <w:r w:rsidRPr="00233FC4">
        <w:t xml:space="preserve"> складывается из расходов на конечное потребление домаш</w:t>
      </w:r>
      <w:r w:rsidRPr="00233FC4">
        <w:softHyphen/>
        <w:t>них хозяйств, расходов государственного управления на индивидуальные товары и услуги и на коллективные услуги, расходов на конечное потребление некоммерческих организаций, обслуживающих домашние хозяйства. Такая группировка показывает, кто финанси</w:t>
      </w:r>
      <w:r w:rsidRPr="00233FC4">
        <w:softHyphen/>
        <w:t>рует расходы на конечное потребление.</w:t>
      </w:r>
    </w:p>
    <w:p w:rsidR="008208C8" w:rsidRPr="00233FC4" w:rsidRDefault="008208C8" w:rsidP="008208C8">
      <w:pPr>
        <w:spacing w:before="120"/>
        <w:ind w:firstLine="709"/>
        <w:jc w:val="both"/>
      </w:pPr>
      <w:proofErr w:type="gramStart"/>
      <w:r w:rsidRPr="00233FC4">
        <w:rPr>
          <w:b/>
        </w:rPr>
        <w:t>Расходы на конечное потребление домашних хозяйств</w:t>
      </w:r>
      <w:r w:rsidRPr="00233FC4">
        <w:t xml:space="preserve"> включают расходы домашних хозяйств на приобретение потребительских товаров и услуг во всех торговых предприятиях, на городских рынках и через неорганизованную (уличную) торговлю, предприятиях бытового и жилищно-коммунального обслуживания, пассажирского транспорта, связи, гостиницах, учреждениях культуры, здравоохранения, образования, а также стоимость товаров и услуг, потребленных в натуральной форме - произведенных для собственного конечного использования (сельскохозяйственная продукция личных подсобных</w:t>
      </w:r>
      <w:proofErr w:type="gramEnd"/>
      <w:r w:rsidRPr="00233FC4">
        <w:t xml:space="preserve"> хозяйств, услуги, предоставленные в связи с проживанием владельцев в собственных жилищах) и полученных в качестве оплаты труда.</w:t>
      </w:r>
    </w:p>
    <w:p w:rsidR="008208C8" w:rsidRPr="00233FC4" w:rsidRDefault="008208C8" w:rsidP="008208C8">
      <w:pPr>
        <w:spacing w:before="120"/>
        <w:ind w:firstLine="709"/>
        <w:jc w:val="both"/>
      </w:pPr>
      <w:r w:rsidRPr="00233FC4">
        <w:rPr>
          <w:b/>
        </w:rPr>
        <w:t xml:space="preserve">Расходы государственного управления на индивидуальные товары и услуги </w:t>
      </w:r>
      <w:r w:rsidRPr="00233FC4">
        <w:t>состоят из расходов сектора государственного управления на потребительские товары и услуги, предназначенные для индивидуального потребления. Такие расходы финансируются за счет Государственного бюджета и внебюджетных фондов из средств, полученных в результате сбора налогов и из других доходов государства. В эти расходы включаются расходы организаций, оказывающих бесплатные (для населения) услуги в области образования, здравоохранения, культуры.</w:t>
      </w:r>
    </w:p>
    <w:p w:rsidR="008208C8" w:rsidRPr="00233FC4" w:rsidRDefault="008208C8" w:rsidP="008208C8">
      <w:pPr>
        <w:spacing w:before="120"/>
        <w:ind w:firstLine="709"/>
        <w:jc w:val="both"/>
      </w:pPr>
      <w:r w:rsidRPr="00233FC4">
        <w:rPr>
          <w:b/>
        </w:rPr>
        <w:t>Расходы государственного управления на коллективные услуги</w:t>
      </w:r>
      <w:r w:rsidRPr="00233FC4">
        <w:t>. Этот показатель отличается от предыдущего тем, что в нем учитываются услуги, оказываемые за счет государственного бюджета бюджетными организациями, которые удовлетворяют потребности не отдельных домо</w:t>
      </w:r>
      <w:r w:rsidRPr="00233FC4">
        <w:softHyphen/>
        <w:t>хозяйств, а общества в целом. В этот показатель вклю</w:t>
      </w:r>
      <w:r w:rsidRPr="00233FC4">
        <w:softHyphen/>
        <w:t>чаются расходы на государственное управление и обеспечение военной безопасности, а также расходы на нерыночную науку, услуги организаций, обслуживающих сельское хозяйство и др.</w:t>
      </w:r>
    </w:p>
    <w:p w:rsidR="008208C8" w:rsidRPr="00233FC4" w:rsidRDefault="008208C8" w:rsidP="008208C8">
      <w:pPr>
        <w:spacing w:before="120"/>
        <w:ind w:firstLine="709"/>
        <w:jc w:val="both"/>
      </w:pPr>
      <w:r w:rsidRPr="00233FC4">
        <w:rPr>
          <w:b/>
        </w:rPr>
        <w:lastRenderedPageBreak/>
        <w:t>Расходы на конечное потребление некоммерческих организаций, обслуживаю</w:t>
      </w:r>
      <w:r w:rsidRPr="00233FC4">
        <w:rPr>
          <w:b/>
        </w:rPr>
        <w:softHyphen/>
        <w:t>щих домашние хозяйства</w:t>
      </w:r>
      <w:r w:rsidRPr="00233FC4">
        <w:t xml:space="preserve"> - расходы общественных организаций (политических партий, религиозных организаций, профсоюзов, общественных объединений), в отношении которых условно считается, что они предоставляют только индивидуальные товары и услуги. Сюда же включается стоимость нерыночных услуг, оказываемых самостоятельными социально-культурными под</w:t>
      </w:r>
      <w:r>
        <w:t xml:space="preserve">разделениями корпораций и </w:t>
      </w:r>
      <w:proofErr w:type="spellStart"/>
      <w:r>
        <w:t>квази</w:t>
      </w:r>
      <w:proofErr w:type="spellEnd"/>
      <w:r>
        <w:t>-</w:t>
      </w:r>
      <w:r w:rsidRPr="00233FC4">
        <w:t>корпораций своим работникам.</w:t>
      </w:r>
    </w:p>
    <w:p w:rsidR="008208C8" w:rsidRPr="00233FC4" w:rsidRDefault="008208C8" w:rsidP="008208C8">
      <w:pPr>
        <w:spacing w:before="120"/>
        <w:ind w:firstLine="709"/>
        <w:jc w:val="both"/>
      </w:pPr>
      <w:r w:rsidRPr="00233FC4">
        <w:rPr>
          <w:b/>
        </w:rPr>
        <w:t>Валовое накопление</w:t>
      </w:r>
      <w:r w:rsidRPr="00233FC4">
        <w:t xml:space="preserve"> включает валовое накопление основного капитала, изменение запасов материальных оборотных средств и чистое приобретение ценностей.</w:t>
      </w:r>
    </w:p>
    <w:p w:rsidR="008208C8" w:rsidRPr="00233FC4" w:rsidRDefault="008208C8" w:rsidP="008208C8">
      <w:pPr>
        <w:spacing w:before="120"/>
        <w:ind w:firstLine="709"/>
        <w:jc w:val="both"/>
      </w:pPr>
      <w:r w:rsidRPr="00233FC4">
        <w:rPr>
          <w:b/>
        </w:rPr>
        <w:t>Валовое накопление основного капитала</w:t>
      </w:r>
      <w:r w:rsidRPr="00233FC4">
        <w:t xml:space="preserve"> представляет собой вложение резидент</w:t>
      </w:r>
      <w:r w:rsidRPr="00233FC4">
        <w:softHyphen/>
        <w:t>ными единицами средств в объекты основного капитала для создания нового дохода в будущем путем использования их в производстве. Валовое накопление основного капи</w:t>
      </w:r>
      <w:r w:rsidRPr="00233FC4">
        <w:softHyphen/>
        <w:t>тала включает следующие компоненты: а) приобретение, за вычетом выбытия, новых и существующих основных фондов; б) затраты на крупные улучшения произведенных материальных активов; в) затраты на улучшение непроизведенных матери</w:t>
      </w:r>
      <w:r w:rsidRPr="00233FC4">
        <w:softHyphen/>
        <w:t>альных активов; г) расходы в связи с передачей права собственности на непроизведен</w:t>
      </w:r>
      <w:r w:rsidRPr="00233FC4">
        <w:softHyphen/>
        <w:t>ные активы.</w:t>
      </w:r>
    </w:p>
    <w:p w:rsidR="008208C8" w:rsidRPr="00233FC4" w:rsidRDefault="008208C8" w:rsidP="008208C8">
      <w:pPr>
        <w:spacing w:before="120"/>
        <w:ind w:firstLine="709"/>
        <w:jc w:val="both"/>
      </w:pPr>
      <w:r w:rsidRPr="00233FC4">
        <w:rPr>
          <w:b/>
        </w:rPr>
        <w:t>Изменение запасов материальных оборотных</w:t>
      </w:r>
      <w:r w:rsidRPr="00233FC4">
        <w:t xml:space="preserve"> сре</w:t>
      </w:r>
      <w:proofErr w:type="gramStart"/>
      <w:r w:rsidRPr="00233FC4">
        <w:t>дств вкл</w:t>
      </w:r>
      <w:proofErr w:type="gramEnd"/>
      <w:r w:rsidRPr="00233FC4">
        <w:t>ючает изменение произ</w:t>
      </w:r>
      <w:r w:rsidRPr="00233FC4">
        <w:softHyphen/>
        <w:t>водственных запасов, незавершенного производства, готовой продукции и товаров для перепродажи. Изменение стоимости запасов в течение данного периода рассчитывается как разность между стоимостью запасов на конец и на начало периода, оцененных в среднегодовых рыночных ценах для устранения влияния изменения цен.</w:t>
      </w:r>
    </w:p>
    <w:p w:rsidR="008208C8" w:rsidRPr="00233FC4" w:rsidRDefault="008208C8" w:rsidP="008208C8">
      <w:pPr>
        <w:spacing w:before="120"/>
        <w:ind w:firstLine="709"/>
        <w:jc w:val="both"/>
      </w:pPr>
      <w:r w:rsidRPr="00233FC4">
        <w:rPr>
          <w:b/>
        </w:rPr>
        <w:t>Чистое приобретение ценностей</w:t>
      </w:r>
      <w:r w:rsidRPr="00233FC4">
        <w:t xml:space="preserve"> - стоимость приобретения за вычетом стоимости выбытия активов, приобретаемых как средство сохранения стоимости: драгоценных металлов и камней, антикварных изделий, коллекций и других произведений искусства.</w:t>
      </w:r>
    </w:p>
    <w:p w:rsidR="008208C8" w:rsidRPr="00233FC4" w:rsidRDefault="008208C8" w:rsidP="008208C8">
      <w:pPr>
        <w:spacing w:before="120"/>
        <w:ind w:firstLine="709"/>
        <w:jc w:val="both"/>
      </w:pPr>
      <w:r w:rsidRPr="00233FC4">
        <w:rPr>
          <w:b/>
        </w:rPr>
        <w:t>Экспорт/импорт товаров</w:t>
      </w:r>
      <w:r w:rsidRPr="00233FC4">
        <w:t xml:space="preserve"> – товары, которые пересекают национальную границу, и в отношении которых имеет место фактический или условный переход права собственности от резидентов к нерезидентам (и наоборот).</w:t>
      </w:r>
    </w:p>
    <w:p w:rsidR="008208C8" w:rsidRPr="00233FC4" w:rsidRDefault="008208C8" w:rsidP="008208C8">
      <w:pPr>
        <w:spacing w:before="120"/>
        <w:ind w:firstLine="709"/>
        <w:jc w:val="both"/>
      </w:pPr>
      <w:r w:rsidRPr="00233FC4">
        <w:rPr>
          <w:b/>
        </w:rPr>
        <w:t>Экспорт/импорт услуг</w:t>
      </w:r>
      <w:r w:rsidRPr="00233FC4">
        <w:t xml:space="preserve"> – услуги, предоставленные резидентами нерезидентам и оказанные нерезидентами резидентам. </w:t>
      </w:r>
    </w:p>
    <w:p w:rsidR="008208C8" w:rsidRPr="00233FC4" w:rsidRDefault="008208C8" w:rsidP="008208C8">
      <w:pPr>
        <w:spacing w:before="120"/>
        <w:ind w:firstLine="709"/>
        <w:jc w:val="both"/>
      </w:pPr>
      <w:r w:rsidRPr="00233FC4">
        <w:t>Импорт товаров и услуг в таблицах «</w:t>
      </w:r>
      <w:proofErr w:type="gramStart"/>
      <w:r w:rsidRPr="00233FC4">
        <w:t>затраты-выпуск</w:t>
      </w:r>
      <w:proofErr w:type="gramEnd"/>
      <w:r w:rsidRPr="00233FC4">
        <w:t>» показывается в ценах СИФ, представляющих собой основную цену применительно к импортным потокам. Цена СИФ включает стоимость товара (услуги) и расходы по страхованию и транспортировке до границы страны-импортера, но не включает пошлины и налоги на импорт.</w:t>
      </w:r>
    </w:p>
    <w:p w:rsidR="008208C8" w:rsidRPr="00233FC4" w:rsidRDefault="008208C8" w:rsidP="008208C8">
      <w:pPr>
        <w:spacing w:before="120"/>
        <w:ind w:firstLine="709"/>
        <w:jc w:val="both"/>
      </w:pPr>
      <w:r w:rsidRPr="00233FC4">
        <w:t>Экспорт отражен в ценах ФОБ, рассматриваемых в качестве особой цены покупателя применительно к экспортным потокам. Цена ФОБ включает стоимость товара (услуги), все расходы по доставке до границы страны-экспортера и экспортные пошлины.</w:t>
      </w:r>
    </w:p>
    <w:p w:rsidR="008208C8" w:rsidRDefault="008208C8" w:rsidP="00F0185B">
      <w:pPr>
        <w:pStyle w:val="a5"/>
        <w:spacing w:after="0"/>
        <w:ind w:left="0" w:firstLine="720"/>
        <w:jc w:val="both"/>
      </w:pPr>
      <w:proofErr w:type="gramStart"/>
      <w:r w:rsidRPr="00B25E4D">
        <w:t>Номенклатуры отраслей и продуктов, используемые при построении таблиц ресурсов и использования (ТРИ), основаны на действующих классификаторах видов экономической деятельности и продуктов и строятся путем агрегации соответствующих классификационных групп на более высшие группировки (отраслей и продуктов).</w:t>
      </w:r>
      <w:r w:rsidRPr="00233FC4">
        <w:t xml:space="preserve"> </w:t>
      </w:r>
      <w:proofErr w:type="gramEnd"/>
    </w:p>
    <w:p w:rsidR="008208C8" w:rsidRDefault="008208C8" w:rsidP="008208C8">
      <w:pPr>
        <w:pStyle w:val="a5"/>
        <w:spacing w:after="0"/>
        <w:ind w:left="0" w:firstLine="720"/>
        <w:jc w:val="both"/>
      </w:pPr>
      <w:r>
        <w:t xml:space="preserve">Номенклатуры отраслей ТРИ за 2011-2016гг. основаны на </w:t>
      </w:r>
      <w:r w:rsidRPr="00233FC4">
        <w:t>Общероссийск</w:t>
      </w:r>
      <w:r>
        <w:t>ом</w:t>
      </w:r>
      <w:r w:rsidRPr="00233FC4">
        <w:t xml:space="preserve"> классификаторе видов экономической д</w:t>
      </w:r>
      <w:r>
        <w:t xml:space="preserve">еятельности (ОКВЭД </w:t>
      </w:r>
      <w:proofErr w:type="gramStart"/>
      <w:r>
        <w:t>ОК</w:t>
      </w:r>
      <w:proofErr w:type="gramEnd"/>
      <w:r>
        <w:t xml:space="preserve"> 029-2007), гармонизированном с </w:t>
      </w:r>
      <w:r>
        <w:rPr>
          <w:lang w:val="en-US"/>
        </w:rPr>
        <w:t>NACE</w:t>
      </w:r>
      <w:r w:rsidRPr="00BB404E">
        <w:t xml:space="preserve"> </w:t>
      </w:r>
      <w:r>
        <w:rPr>
          <w:lang w:val="en-US"/>
        </w:rPr>
        <w:t>Rev</w:t>
      </w:r>
      <w:r w:rsidRPr="00BB404E">
        <w:t>.</w:t>
      </w:r>
      <w:r>
        <w:t xml:space="preserve"> 1; продуктов – на </w:t>
      </w:r>
      <w:r w:rsidRPr="00233FC4">
        <w:t>Общероссийск</w:t>
      </w:r>
      <w:r>
        <w:t>ом</w:t>
      </w:r>
      <w:r w:rsidRPr="00233FC4">
        <w:t xml:space="preserve"> классификатор</w:t>
      </w:r>
      <w:r>
        <w:t>е</w:t>
      </w:r>
      <w:r w:rsidRPr="00233FC4">
        <w:t xml:space="preserve"> продукции по видам экономической деятельности (ОКПД</w:t>
      </w:r>
      <w:r>
        <w:t xml:space="preserve">), гармонизированном с </w:t>
      </w:r>
      <w:r w:rsidRPr="00233FC4">
        <w:rPr>
          <w:lang w:val="en-IE"/>
        </w:rPr>
        <w:t>CPA</w:t>
      </w:r>
      <w:r w:rsidRPr="00233FC4">
        <w:t xml:space="preserve"> 2002</w:t>
      </w:r>
      <w:r>
        <w:t>.</w:t>
      </w:r>
    </w:p>
    <w:p w:rsidR="008208C8" w:rsidRDefault="008208C8" w:rsidP="008208C8">
      <w:pPr>
        <w:autoSpaceDE w:val="0"/>
        <w:autoSpaceDN w:val="0"/>
        <w:adjustRightInd w:val="0"/>
        <w:spacing w:before="120"/>
        <w:ind w:firstLine="709"/>
        <w:jc w:val="both"/>
      </w:pPr>
      <w:r>
        <w:t>Начиная с данных за 2017 год номенклатуры отраслей ТРИ будут основаны  на Общероссийском</w:t>
      </w:r>
      <w:r w:rsidRPr="006F705F">
        <w:t xml:space="preserve"> классификатор</w:t>
      </w:r>
      <w:r>
        <w:t>е</w:t>
      </w:r>
      <w:r w:rsidRPr="006F705F">
        <w:t xml:space="preserve"> видов экономической деятельности</w:t>
      </w:r>
      <w:r>
        <w:t xml:space="preserve"> </w:t>
      </w:r>
      <w:proofErr w:type="gramStart"/>
      <w:r w:rsidRPr="00E329F2">
        <w:t>ОК</w:t>
      </w:r>
      <w:proofErr w:type="gramEnd"/>
      <w:r w:rsidRPr="00E329F2">
        <w:t xml:space="preserve"> 029-2014 </w:t>
      </w:r>
      <w:r>
        <w:lastRenderedPageBreak/>
        <w:t xml:space="preserve">(ОКВЭД 2), гармонизированном с NACE Rev.2; номенклатуры продуктов – на </w:t>
      </w:r>
      <w:r w:rsidRPr="00CF1950">
        <w:t>Общероссийско</w:t>
      </w:r>
      <w:r>
        <w:t>м</w:t>
      </w:r>
      <w:r w:rsidRPr="00CF1950">
        <w:t xml:space="preserve"> классификатор</w:t>
      </w:r>
      <w:r>
        <w:t>е</w:t>
      </w:r>
      <w:r w:rsidRPr="00CF1950">
        <w:t xml:space="preserve"> </w:t>
      </w:r>
      <w:r w:rsidRPr="009D3B64">
        <w:t>продукции по видам экономической деятельности</w:t>
      </w:r>
      <w:r w:rsidRPr="00CF1950">
        <w:t xml:space="preserve"> ОК 034-2014</w:t>
      </w:r>
      <w:r>
        <w:t xml:space="preserve">, </w:t>
      </w:r>
      <w:r w:rsidRPr="00CF1950">
        <w:t>гармонизированн</w:t>
      </w:r>
      <w:r>
        <w:t>ом с CPA 2008.</w:t>
      </w:r>
    </w:p>
    <w:p w:rsidR="008208C8" w:rsidRPr="00233FC4" w:rsidRDefault="008208C8" w:rsidP="00F0185B">
      <w:pPr>
        <w:pStyle w:val="a5"/>
        <w:spacing w:after="0"/>
        <w:ind w:left="0" w:firstLine="720"/>
        <w:jc w:val="both"/>
      </w:pPr>
      <w:r w:rsidRPr="00233FC4">
        <w:t xml:space="preserve">Количество отраслей и продуктов, выделяемых в </w:t>
      </w:r>
      <w:r>
        <w:t>ТРИ</w:t>
      </w:r>
      <w:r w:rsidRPr="00233FC4">
        <w:t>, называется размерностью этих таблиц.</w:t>
      </w:r>
    </w:p>
    <w:p w:rsidR="008208C8" w:rsidRPr="00233FC4" w:rsidRDefault="008208C8" w:rsidP="00F0185B">
      <w:pPr>
        <w:ind w:firstLine="709"/>
        <w:jc w:val="both"/>
      </w:pPr>
      <w:r w:rsidRPr="00233FC4">
        <w:t xml:space="preserve">Размерность </w:t>
      </w:r>
      <w:r>
        <w:t>ТРИ</w:t>
      </w:r>
      <w:r w:rsidRPr="00233FC4">
        <w:t xml:space="preserve"> существенно дифференцирована по странам и зависит от</w:t>
      </w:r>
      <w:r>
        <w:t xml:space="preserve"> специализации экономики, </w:t>
      </w:r>
      <w:r w:rsidRPr="00233FC4">
        <w:t>системы организации статистического наблюдения, наличия материальных, трудовых ресурсов, программно-технологических и финансовых сре</w:t>
      </w:r>
      <w:proofErr w:type="gramStart"/>
      <w:r w:rsidRPr="00233FC4">
        <w:t>дств дл</w:t>
      </w:r>
      <w:proofErr w:type="gramEnd"/>
      <w:r w:rsidRPr="00233FC4">
        <w:t>я обработки и согласования информации в рамках составления этих таблиц.</w:t>
      </w:r>
    </w:p>
    <w:p w:rsidR="008208C8" w:rsidRPr="00233FC4" w:rsidRDefault="008208C8" w:rsidP="008208C8">
      <w:pPr>
        <w:spacing w:before="120"/>
        <w:ind w:firstLine="709"/>
        <w:jc w:val="both"/>
      </w:pPr>
      <w:r w:rsidRPr="00233FC4">
        <w:t>При разработке этих номенклатур учитыва</w:t>
      </w:r>
      <w:r>
        <w:t>ется</w:t>
      </w:r>
      <w:r w:rsidRPr="00233FC4">
        <w:t>:</w:t>
      </w:r>
    </w:p>
    <w:p w:rsidR="008208C8" w:rsidRPr="00233FC4" w:rsidRDefault="008208C8" w:rsidP="008208C8">
      <w:pPr>
        <w:numPr>
          <w:ilvl w:val="0"/>
          <w:numId w:val="3"/>
        </w:numPr>
        <w:tabs>
          <w:tab w:val="clear" w:pos="1429"/>
          <w:tab w:val="num" w:pos="1260"/>
        </w:tabs>
        <w:spacing w:before="120"/>
        <w:ind w:left="1260" w:hanging="191"/>
        <w:jc w:val="both"/>
        <w:rPr>
          <w:sz w:val="28"/>
          <w:szCs w:val="28"/>
        </w:rPr>
      </w:pPr>
      <w:r w:rsidRPr="00233FC4">
        <w:t xml:space="preserve">наличие информации о выпуске продукции в стоимостном выражении; </w:t>
      </w:r>
    </w:p>
    <w:p w:rsidR="008208C8" w:rsidRPr="00233FC4" w:rsidRDefault="008208C8" w:rsidP="008208C8">
      <w:pPr>
        <w:numPr>
          <w:ilvl w:val="0"/>
          <w:numId w:val="3"/>
        </w:numPr>
        <w:tabs>
          <w:tab w:val="clear" w:pos="1429"/>
          <w:tab w:val="num" w:pos="1260"/>
        </w:tabs>
        <w:spacing w:before="120"/>
        <w:ind w:left="1260" w:hanging="191"/>
        <w:jc w:val="both"/>
      </w:pPr>
      <w:r w:rsidRPr="00233FC4">
        <w:t>значимость объемов производства отраслей и продукции для экономики страны;</w:t>
      </w:r>
    </w:p>
    <w:p w:rsidR="008208C8" w:rsidRPr="00233FC4" w:rsidRDefault="008208C8" w:rsidP="008208C8">
      <w:pPr>
        <w:numPr>
          <w:ilvl w:val="0"/>
          <w:numId w:val="3"/>
        </w:numPr>
        <w:tabs>
          <w:tab w:val="clear" w:pos="1429"/>
          <w:tab w:val="num" w:pos="1260"/>
        </w:tabs>
        <w:spacing w:before="120"/>
        <w:ind w:left="1260" w:hanging="191"/>
        <w:jc w:val="both"/>
      </w:pPr>
      <w:r w:rsidRPr="00233FC4">
        <w:t>однородность структуры производства и использования продукции</w:t>
      </w:r>
      <w:r w:rsidRPr="00233FC4">
        <w:rPr>
          <w:sz w:val="28"/>
          <w:szCs w:val="28"/>
        </w:rPr>
        <w:t>;</w:t>
      </w:r>
      <w:r w:rsidRPr="00233FC4">
        <w:t xml:space="preserve"> </w:t>
      </w:r>
    </w:p>
    <w:p w:rsidR="008208C8" w:rsidRPr="00233FC4" w:rsidRDefault="008208C8" w:rsidP="008208C8">
      <w:pPr>
        <w:numPr>
          <w:ilvl w:val="0"/>
          <w:numId w:val="3"/>
        </w:numPr>
        <w:tabs>
          <w:tab w:val="clear" w:pos="1429"/>
          <w:tab w:val="num" w:pos="1260"/>
        </w:tabs>
        <w:spacing w:before="120"/>
        <w:ind w:left="1260" w:hanging="191"/>
        <w:jc w:val="both"/>
      </w:pPr>
      <w:r w:rsidRPr="00233FC4">
        <w:t xml:space="preserve">различия </w:t>
      </w:r>
      <w:r>
        <w:t xml:space="preserve">в </w:t>
      </w:r>
      <w:r w:rsidRPr="00233FC4">
        <w:t>ставках налогов на продукты на различные виды продукции;</w:t>
      </w:r>
    </w:p>
    <w:p w:rsidR="008208C8" w:rsidRPr="00233FC4" w:rsidRDefault="008208C8" w:rsidP="008208C8">
      <w:pPr>
        <w:numPr>
          <w:ilvl w:val="0"/>
          <w:numId w:val="3"/>
        </w:numPr>
        <w:tabs>
          <w:tab w:val="clear" w:pos="1429"/>
          <w:tab w:val="num" w:pos="1260"/>
        </w:tabs>
        <w:spacing w:before="120"/>
        <w:ind w:left="1260" w:hanging="191"/>
        <w:jc w:val="both"/>
      </w:pPr>
      <w:r w:rsidRPr="00233FC4">
        <w:t xml:space="preserve">степень охвата групп товаров и услуг товарами-представителями, по которым ведется наблюдение по ценам; </w:t>
      </w:r>
    </w:p>
    <w:p w:rsidR="008208C8" w:rsidRPr="00233FC4" w:rsidRDefault="008208C8" w:rsidP="008208C8">
      <w:pPr>
        <w:numPr>
          <w:ilvl w:val="0"/>
          <w:numId w:val="3"/>
        </w:numPr>
        <w:tabs>
          <w:tab w:val="clear" w:pos="1429"/>
          <w:tab w:val="num" w:pos="1260"/>
        </w:tabs>
        <w:spacing w:before="120"/>
        <w:ind w:left="1260" w:hanging="191"/>
        <w:jc w:val="both"/>
      </w:pPr>
      <w:r w:rsidRPr="00233FC4">
        <w:t>уровень агрегирования продукции, при котором у данной группы потенциально известно направление использования (конечный или промежуточный спрос);</w:t>
      </w:r>
    </w:p>
    <w:p w:rsidR="008208C8" w:rsidRPr="00233FC4" w:rsidRDefault="008208C8" w:rsidP="008208C8">
      <w:pPr>
        <w:numPr>
          <w:ilvl w:val="0"/>
          <w:numId w:val="3"/>
        </w:numPr>
        <w:tabs>
          <w:tab w:val="clear" w:pos="1429"/>
          <w:tab w:val="num" w:pos="1260"/>
        </w:tabs>
        <w:spacing w:before="120"/>
        <w:ind w:left="1260" w:hanging="191"/>
        <w:jc w:val="both"/>
      </w:pPr>
      <w:r w:rsidRPr="00233FC4">
        <w:t>номенклатуру товаров-представителей, используемую в программах международных сопоставлений;</w:t>
      </w:r>
      <w:r w:rsidRPr="00233FC4">
        <w:rPr>
          <w:szCs w:val="28"/>
        </w:rPr>
        <w:t xml:space="preserve"> </w:t>
      </w:r>
    </w:p>
    <w:p w:rsidR="008208C8" w:rsidRPr="00233FC4" w:rsidRDefault="008208C8" w:rsidP="008208C8">
      <w:pPr>
        <w:numPr>
          <w:ilvl w:val="0"/>
          <w:numId w:val="3"/>
        </w:numPr>
        <w:tabs>
          <w:tab w:val="clear" w:pos="1429"/>
          <w:tab w:val="num" w:pos="1260"/>
        </w:tabs>
        <w:spacing w:before="120"/>
        <w:ind w:left="1260" w:hanging="191"/>
        <w:jc w:val="both"/>
      </w:pPr>
      <w:r w:rsidRPr="00233FC4">
        <w:t>возможность заполнения вопросников международных организаций;</w:t>
      </w:r>
    </w:p>
    <w:p w:rsidR="008208C8" w:rsidRPr="00233FC4" w:rsidRDefault="008208C8" w:rsidP="008208C8">
      <w:pPr>
        <w:numPr>
          <w:ilvl w:val="0"/>
          <w:numId w:val="3"/>
        </w:numPr>
        <w:tabs>
          <w:tab w:val="clear" w:pos="1429"/>
          <w:tab w:val="num" w:pos="1260"/>
        </w:tabs>
        <w:spacing w:before="120"/>
        <w:ind w:left="1260" w:hanging="191"/>
        <w:jc w:val="both"/>
      </w:pPr>
      <w:r w:rsidRPr="00233FC4">
        <w:t>соблюдение требований по защите государственной тай</w:t>
      </w:r>
      <w:r>
        <w:t>ны и др.</w:t>
      </w:r>
      <w:r w:rsidRPr="00233FC4">
        <w:t xml:space="preserve"> </w:t>
      </w:r>
    </w:p>
    <w:p w:rsidR="00C8472A" w:rsidRDefault="00C8472A"/>
    <w:sectPr w:rsidR="00C847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FEB" w:rsidRDefault="00AC6FEB" w:rsidP="008208C8">
      <w:r>
        <w:separator/>
      </w:r>
    </w:p>
  </w:endnote>
  <w:endnote w:type="continuationSeparator" w:id="0">
    <w:p w:rsidR="00AC6FEB" w:rsidRDefault="00AC6FEB" w:rsidP="0082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FEB" w:rsidRDefault="00AC6FEB" w:rsidP="008208C8">
      <w:r>
        <w:separator/>
      </w:r>
    </w:p>
  </w:footnote>
  <w:footnote w:type="continuationSeparator" w:id="0">
    <w:p w:rsidR="00AC6FEB" w:rsidRDefault="00AC6FEB" w:rsidP="008208C8">
      <w:r>
        <w:continuationSeparator/>
      </w:r>
    </w:p>
  </w:footnote>
  <w:footnote w:id="1">
    <w:p w:rsidR="008208C8" w:rsidRPr="00984DED" w:rsidRDefault="008208C8" w:rsidP="008208C8">
      <w:pPr>
        <w:jc w:val="both"/>
        <w:rPr>
          <w:sz w:val="20"/>
          <w:szCs w:val="20"/>
          <w:lang w:val="en-US"/>
        </w:rPr>
      </w:pPr>
      <w:r>
        <w:rPr>
          <w:rStyle w:val="a7"/>
        </w:rPr>
        <w:footnoteRef/>
      </w:r>
      <w:r w:rsidRPr="00FE58DD">
        <w:rPr>
          <w:lang w:val="en-US"/>
        </w:rPr>
        <w:t xml:space="preserve"> </w:t>
      </w:r>
      <w:r w:rsidRPr="00FE58DD">
        <w:rPr>
          <w:i/>
          <w:sz w:val="20"/>
          <w:szCs w:val="20"/>
          <w:lang w:val="en-US"/>
        </w:rPr>
        <w:t xml:space="preserve">Handbook of Input-Output Table Compilation and </w:t>
      </w:r>
      <w:proofErr w:type="gramStart"/>
      <w:r w:rsidRPr="00FE58DD">
        <w:rPr>
          <w:i/>
          <w:sz w:val="20"/>
          <w:szCs w:val="20"/>
          <w:lang w:val="en-US"/>
        </w:rPr>
        <w:t>Analysis</w:t>
      </w:r>
      <w:r w:rsidRPr="00FE58DD">
        <w:rPr>
          <w:sz w:val="20"/>
          <w:szCs w:val="20"/>
          <w:lang w:val="en-US"/>
        </w:rPr>
        <w:t>,</w:t>
      </w:r>
      <w:proofErr w:type="gramEnd"/>
      <w:r w:rsidRPr="00FE58DD">
        <w:rPr>
          <w:sz w:val="20"/>
          <w:szCs w:val="20"/>
          <w:lang w:val="en-US"/>
        </w:rPr>
        <w:t xml:space="preserve"> United Nations Department for Economic and Social Affairs Statistics Division.</w:t>
      </w:r>
      <w:r w:rsidRPr="00FE58DD">
        <w:rPr>
          <w:i/>
          <w:sz w:val="20"/>
          <w:szCs w:val="20"/>
          <w:lang w:val="en-US"/>
        </w:rPr>
        <w:t xml:space="preserve"> </w:t>
      </w:r>
      <w:r w:rsidRPr="00FE58DD">
        <w:rPr>
          <w:sz w:val="20"/>
          <w:szCs w:val="20"/>
          <w:lang w:val="en-US"/>
        </w:rPr>
        <w:t xml:space="preserve"> </w:t>
      </w:r>
      <w:proofErr w:type="gramStart"/>
      <w:r w:rsidRPr="00FE58DD">
        <w:rPr>
          <w:sz w:val="20"/>
          <w:szCs w:val="20"/>
          <w:lang w:val="en-US"/>
        </w:rPr>
        <w:t>Studies in Methods, Series F, No.74.</w:t>
      </w:r>
      <w:proofErr w:type="gramEnd"/>
      <w:r w:rsidRPr="00FE58DD">
        <w:rPr>
          <w:sz w:val="20"/>
          <w:szCs w:val="20"/>
          <w:lang w:val="en-US"/>
        </w:rPr>
        <w:t xml:space="preserve"> (1999)</w:t>
      </w:r>
      <w:r w:rsidRPr="00984DED">
        <w:rPr>
          <w:sz w:val="20"/>
          <w:szCs w:val="20"/>
          <w:lang w:val="en-US"/>
        </w:rPr>
        <w:t>.</w:t>
      </w:r>
    </w:p>
  </w:footnote>
  <w:footnote w:id="2">
    <w:p w:rsidR="008208C8" w:rsidRPr="00FE58DD" w:rsidRDefault="008208C8" w:rsidP="008208C8">
      <w:pPr>
        <w:rPr>
          <w:sz w:val="20"/>
          <w:szCs w:val="20"/>
          <w:lang w:val="en-US"/>
        </w:rPr>
      </w:pPr>
      <w:r>
        <w:rPr>
          <w:rStyle w:val="a7"/>
        </w:rPr>
        <w:footnoteRef/>
      </w:r>
      <w:r w:rsidRPr="00FE58DD">
        <w:rPr>
          <w:lang w:val="en-US"/>
        </w:rPr>
        <w:t xml:space="preserve"> </w:t>
      </w:r>
      <w:r w:rsidRPr="00FE58DD">
        <w:rPr>
          <w:rFonts w:cs="Arial"/>
          <w:bCs/>
          <w:i/>
          <w:sz w:val="20"/>
          <w:szCs w:val="20"/>
          <w:lang w:val="en-US"/>
        </w:rPr>
        <w:t>Eurostat Manual of Supply, Use and Input-Output Tables</w:t>
      </w:r>
      <w:r w:rsidRPr="00FE58DD">
        <w:rPr>
          <w:rFonts w:cs="Arial"/>
          <w:sz w:val="20"/>
          <w:szCs w:val="20"/>
          <w:lang w:val="en-US"/>
        </w:rPr>
        <w:t xml:space="preserve">, </w:t>
      </w:r>
      <w:smartTag w:uri="urn:schemas-microsoft-com:office:smarttags" w:element="place">
        <w:smartTag w:uri="urn:schemas-microsoft-com:office:smarttags" w:element="country-region">
          <w:r w:rsidRPr="00FE58DD">
            <w:rPr>
              <w:rFonts w:cs="Arial"/>
              <w:sz w:val="20"/>
              <w:szCs w:val="20"/>
              <w:lang w:val="en-US"/>
            </w:rPr>
            <w:t>Luxembourg</w:t>
          </w:r>
        </w:smartTag>
      </w:smartTag>
      <w:r w:rsidRPr="00FE58DD">
        <w:rPr>
          <w:rFonts w:cs="Arial"/>
          <w:sz w:val="20"/>
          <w:szCs w:val="20"/>
          <w:lang w:val="en-US"/>
        </w:rPr>
        <w:t>: Office for Official Publications of the European Communities (2008).</w:t>
      </w:r>
    </w:p>
    <w:p w:rsidR="008208C8" w:rsidRPr="00FE58DD" w:rsidRDefault="008208C8" w:rsidP="008208C8">
      <w:pPr>
        <w:pStyle w:val="a3"/>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00F73"/>
    <w:multiLevelType w:val="hybridMultilevel"/>
    <w:tmpl w:val="73D05E0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1211"/>
        </w:tabs>
        <w:ind w:left="1211"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79600CE"/>
    <w:multiLevelType w:val="hybridMultilevel"/>
    <w:tmpl w:val="15549C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76B42B31"/>
    <w:multiLevelType w:val="hybridMultilevel"/>
    <w:tmpl w:val="52B459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47"/>
    <w:rsid w:val="00001A96"/>
    <w:rsid w:val="00005B08"/>
    <w:rsid w:val="00005D8E"/>
    <w:rsid w:val="00005FE6"/>
    <w:rsid w:val="00012E7E"/>
    <w:rsid w:val="000139F5"/>
    <w:rsid w:val="000170C6"/>
    <w:rsid w:val="00020BB8"/>
    <w:rsid w:val="0002298A"/>
    <w:rsid w:val="00022F7E"/>
    <w:rsid w:val="00026592"/>
    <w:rsid w:val="0004048F"/>
    <w:rsid w:val="00044521"/>
    <w:rsid w:val="000456D0"/>
    <w:rsid w:val="00045DA9"/>
    <w:rsid w:val="000530F4"/>
    <w:rsid w:val="00056C87"/>
    <w:rsid w:val="00057FAF"/>
    <w:rsid w:val="00062468"/>
    <w:rsid w:val="000627B3"/>
    <w:rsid w:val="00062EC5"/>
    <w:rsid w:val="00065A38"/>
    <w:rsid w:val="00065F52"/>
    <w:rsid w:val="00066942"/>
    <w:rsid w:val="000747CE"/>
    <w:rsid w:val="0007496D"/>
    <w:rsid w:val="0007542A"/>
    <w:rsid w:val="000813B6"/>
    <w:rsid w:val="00083BE7"/>
    <w:rsid w:val="00087A11"/>
    <w:rsid w:val="000969DB"/>
    <w:rsid w:val="000A174F"/>
    <w:rsid w:val="000A3A78"/>
    <w:rsid w:val="000A79F2"/>
    <w:rsid w:val="000A7B64"/>
    <w:rsid w:val="000B032E"/>
    <w:rsid w:val="000B5E7F"/>
    <w:rsid w:val="000B6A99"/>
    <w:rsid w:val="000C4EED"/>
    <w:rsid w:val="000C7811"/>
    <w:rsid w:val="000D25EE"/>
    <w:rsid w:val="000D6FDF"/>
    <w:rsid w:val="000D75C1"/>
    <w:rsid w:val="000E2F88"/>
    <w:rsid w:val="000E41E6"/>
    <w:rsid w:val="000E4973"/>
    <w:rsid w:val="000E6A96"/>
    <w:rsid w:val="000F0444"/>
    <w:rsid w:val="000F0539"/>
    <w:rsid w:val="000F3739"/>
    <w:rsid w:val="000F3E66"/>
    <w:rsid w:val="000F423F"/>
    <w:rsid w:val="00102183"/>
    <w:rsid w:val="00104BBE"/>
    <w:rsid w:val="001062AC"/>
    <w:rsid w:val="0010746B"/>
    <w:rsid w:val="001076BB"/>
    <w:rsid w:val="0011011E"/>
    <w:rsid w:val="00112675"/>
    <w:rsid w:val="00113BBE"/>
    <w:rsid w:val="00121B62"/>
    <w:rsid w:val="00122A71"/>
    <w:rsid w:val="001242D6"/>
    <w:rsid w:val="00125006"/>
    <w:rsid w:val="001258CB"/>
    <w:rsid w:val="001352E1"/>
    <w:rsid w:val="00137077"/>
    <w:rsid w:val="00140BC5"/>
    <w:rsid w:val="00141399"/>
    <w:rsid w:val="00143E77"/>
    <w:rsid w:val="001517FC"/>
    <w:rsid w:val="001527F8"/>
    <w:rsid w:val="00153371"/>
    <w:rsid w:val="0016128B"/>
    <w:rsid w:val="00162671"/>
    <w:rsid w:val="001626E0"/>
    <w:rsid w:val="00163D76"/>
    <w:rsid w:val="0016573C"/>
    <w:rsid w:val="00177769"/>
    <w:rsid w:val="001818B2"/>
    <w:rsid w:val="00182A58"/>
    <w:rsid w:val="001850F5"/>
    <w:rsid w:val="00185468"/>
    <w:rsid w:val="00191749"/>
    <w:rsid w:val="001933AF"/>
    <w:rsid w:val="00193405"/>
    <w:rsid w:val="00196C48"/>
    <w:rsid w:val="00196EF5"/>
    <w:rsid w:val="001A6403"/>
    <w:rsid w:val="001B1330"/>
    <w:rsid w:val="001B17A7"/>
    <w:rsid w:val="001B427C"/>
    <w:rsid w:val="001B568C"/>
    <w:rsid w:val="001B7FAF"/>
    <w:rsid w:val="001C306C"/>
    <w:rsid w:val="001C6596"/>
    <w:rsid w:val="001D02CC"/>
    <w:rsid w:val="001D3710"/>
    <w:rsid w:val="001D3C69"/>
    <w:rsid w:val="001D3D59"/>
    <w:rsid w:val="001D4D98"/>
    <w:rsid w:val="001E3A1D"/>
    <w:rsid w:val="001E4714"/>
    <w:rsid w:val="001E5352"/>
    <w:rsid w:val="001F131A"/>
    <w:rsid w:val="001F2095"/>
    <w:rsid w:val="001F2428"/>
    <w:rsid w:val="001F46E8"/>
    <w:rsid w:val="001F530D"/>
    <w:rsid w:val="001F61CA"/>
    <w:rsid w:val="001F677F"/>
    <w:rsid w:val="001F7984"/>
    <w:rsid w:val="002017A9"/>
    <w:rsid w:val="00210C34"/>
    <w:rsid w:val="00210C58"/>
    <w:rsid w:val="00213844"/>
    <w:rsid w:val="002150FB"/>
    <w:rsid w:val="00216F4E"/>
    <w:rsid w:val="00217A24"/>
    <w:rsid w:val="00221765"/>
    <w:rsid w:val="00222DED"/>
    <w:rsid w:val="00224858"/>
    <w:rsid w:val="00227164"/>
    <w:rsid w:val="0022756C"/>
    <w:rsid w:val="00231293"/>
    <w:rsid w:val="002404E0"/>
    <w:rsid w:val="00241A41"/>
    <w:rsid w:val="00244A65"/>
    <w:rsid w:val="00244FF7"/>
    <w:rsid w:val="0025323D"/>
    <w:rsid w:val="00253287"/>
    <w:rsid w:val="00254BA3"/>
    <w:rsid w:val="002564BA"/>
    <w:rsid w:val="002569FD"/>
    <w:rsid w:val="00261119"/>
    <w:rsid w:val="0026156D"/>
    <w:rsid w:val="00262D5E"/>
    <w:rsid w:val="002665B7"/>
    <w:rsid w:val="0027403C"/>
    <w:rsid w:val="00274E1F"/>
    <w:rsid w:val="00277923"/>
    <w:rsid w:val="00277AE5"/>
    <w:rsid w:val="00282C5D"/>
    <w:rsid w:val="002864FF"/>
    <w:rsid w:val="002867AE"/>
    <w:rsid w:val="002912AC"/>
    <w:rsid w:val="00292944"/>
    <w:rsid w:val="002945CE"/>
    <w:rsid w:val="0029618D"/>
    <w:rsid w:val="002963AC"/>
    <w:rsid w:val="00296B25"/>
    <w:rsid w:val="00296D63"/>
    <w:rsid w:val="0029745D"/>
    <w:rsid w:val="002A13B7"/>
    <w:rsid w:val="002A289C"/>
    <w:rsid w:val="002A3308"/>
    <w:rsid w:val="002B0E66"/>
    <w:rsid w:val="002B115C"/>
    <w:rsid w:val="002B18A7"/>
    <w:rsid w:val="002C540E"/>
    <w:rsid w:val="002D3267"/>
    <w:rsid w:val="002D3BAA"/>
    <w:rsid w:val="002D54BB"/>
    <w:rsid w:val="002E0A36"/>
    <w:rsid w:val="002E0B88"/>
    <w:rsid w:val="002E15F6"/>
    <w:rsid w:val="002E3AF0"/>
    <w:rsid w:val="002E3FB3"/>
    <w:rsid w:val="002E5844"/>
    <w:rsid w:val="002E76EA"/>
    <w:rsid w:val="002E7C4D"/>
    <w:rsid w:val="002F12D2"/>
    <w:rsid w:val="002F1464"/>
    <w:rsid w:val="002F35D4"/>
    <w:rsid w:val="0030722C"/>
    <w:rsid w:val="00312EC0"/>
    <w:rsid w:val="003138FA"/>
    <w:rsid w:val="00313D82"/>
    <w:rsid w:val="003159EC"/>
    <w:rsid w:val="00316770"/>
    <w:rsid w:val="00320B0C"/>
    <w:rsid w:val="00324FE5"/>
    <w:rsid w:val="00325042"/>
    <w:rsid w:val="00325934"/>
    <w:rsid w:val="00327650"/>
    <w:rsid w:val="00330143"/>
    <w:rsid w:val="003303C5"/>
    <w:rsid w:val="003318E0"/>
    <w:rsid w:val="003331B9"/>
    <w:rsid w:val="003356F5"/>
    <w:rsid w:val="0033663D"/>
    <w:rsid w:val="00337566"/>
    <w:rsid w:val="00341844"/>
    <w:rsid w:val="00346B68"/>
    <w:rsid w:val="00350E54"/>
    <w:rsid w:val="00356535"/>
    <w:rsid w:val="003571A6"/>
    <w:rsid w:val="003576C5"/>
    <w:rsid w:val="0036140A"/>
    <w:rsid w:val="00363EBA"/>
    <w:rsid w:val="0036721B"/>
    <w:rsid w:val="003716F9"/>
    <w:rsid w:val="00373B3E"/>
    <w:rsid w:val="00374480"/>
    <w:rsid w:val="003747E2"/>
    <w:rsid w:val="00376656"/>
    <w:rsid w:val="003801D1"/>
    <w:rsid w:val="003835A5"/>
    <w:rsid w:val="00390316"/>
    <w:rsid w:val="0039170E"/>
    <w:rsid w:val="00392BF0"/>
    <w:rsid w:val="00392F3E"/>
    <w:rsid w:val="00394C5F"/>
    <w:rsid w:val="003968D7"/>
    <w:rsid w:val="003A08E1"/>
    <w:rsid w:val="003A1CA5"/>
    <w:rsid w:val="003A25C7"/>
    <w:rsid w:val="003A2A44"/>
    <w:rsid w:val="003A449F"/>
    <w:rsid w:val="003A51C4"/>
    <w:rsid w:val="003A7853"/>
    <w:rsid w:val="003B39FE"/>
    <w:rsid w:val="003B4A00"/>
    <w:rsid w:val="003B55EB"/>
    <w:rsid w:val="003B5C74"/>
    <w:rsid w:val="003C2825"/>
    <w:rsid w:val="003C342E"/>
    <w:rsid w:val="003D178B"/>
    <w:rsid w:val="003D1DD0"/>
    <w:rsid w:val="003D2582"/>
    <w:rsid w:val="003D3474"/>
    <w:rsid w:val="003D36A5"/>
    <w:rsid w:val="003D5D29"/>
    <w:rsid w:val="003D7C97"/>
    <w:rsid w:val="003E0CE1"/>
    <w:rsid w:val="003E1B98"/>
    <w:rsid w:val="003E4EFB"/>
    <w:rsid w:val="003F228C"/>
    <w:rsid w:val="003F3283"/>
    <w:rsid w:val="004001AC"/>
    <w:rsid w:val="00401875"/>
    <w:rsid w:val="004036FD"/>
    <w:rsid w:val="0040419C"/>
    <w:rsid w:val="00420663"/>
    <w:rsid w:val="00421010"/>
    <w:rsid w:val="004210B6"/>
    <w:rsid w:val="00422B82"/>
    <w:rsid w:val="004251A8"/>
    <w:rsid w:val="0042556C"/>
    <w:rsid w:val="00430BA3"/>
    <w:rsid w:val="00432128"/>
    <w:rsid w:val="00435F85"/>
    <w:rsid w:val="00441497"/>
    <w:rsid w:val="004449A6"/>
    <w:rsid w:val="00445791"/>
    <w:rsid w:val="00445A3C"/>
    <w:rsid w:val="0044695B"/>
    <w:rsid w:val="004510AB"/>
    <w:rsid w:val="00451EF2"/>
    <w:rsid w:val="0045221F"/>
    <w:rsid w:val="004554BE"/>
    <w:rsid w:val="00463F23"/>
    <w:rsid w:val="00467A79"/>
    <w:rsid w:val="00467D48"/>
    <w:rsid w:val="004705F2"/>
    <w:rsid w:val="00470878"/>
    <w:rsid w:val="00472FF3"/>
    <w:rsid w:val="00476E7E"/>
    <w:rsid w:val="00482CF8"/>
    <w:rsid w:val="00483EE3"/>
    <w:rsid w:val="00486A9C"/>
    <w:rsid w:val="004A6A45"/>
    <w:rsid w:val="004B07B1"/>
    <w:rsid w:val="004B63EB"/>
    <w:rsid w:val="004B6AA6"/>
    <w:rsid w:val="004B78AA"/>
    <w:rsid w:val="004B7BC3"/>
    <w:rsid w:val="004B7C0D"/>
    <w:rsid w:val="004C0DBE"/>
    <w:rsid w:val="004C109B"/>
    <w:rsid w:val="004C1F50"/>
    <w:rsid w:val="004C2CDC"/>
    <w:rsid w:val="004C46B3"/>
    <w:rsid w:val="004C627E"/>
    <w:rsid w:val="004C7BF7"/>
    <w:rsid w:val="004D04CE"/>
    <w:rsid w:val="004D081B"/>
    <w:rsid w:val="004D3552"/>
    <w:rsid w:val="004D6701"/>
    <w:rsid w:val="004E1CD7"/>
    <w:rsid w:val="004E2CFC"/>
    <w:rsid w:val="004E4985"/>
    <w:rsid w:val="004E5341"/>
    <w:rsid w:val="004F02BB"/>
    <w:rsid w:val="004F1A04"/>
    <w:rsid w:val="004F3663"/>
    <w:rsid w:val="004F50A0"/>
    <w:rsid w:val="004F6FBA"/>
    <w:rsid w:val="00501B08"/>
    <w:rsid w:val="00504B96"/>
    <w:rsid w:val="0050542B"/>
    <w:rsid w:val="00511501"/>
    <w:rsid w:val="005121E5"/>
    <w:rsid w:val="00512588"/>
    <w:rsid w:val="0051349E"/>
    <w:rsid w:val="00516137"/>
    <w:rsid w:val="00516ADC"/>
    <w:rsid w:val="00517826"/>
    <w:rsid w:val="00522FF1"/>
    <w:rsid w:val="0052300E"/>
    <w:rsid w:val="005242EE"/>
    <w:rsid w:val="005248FE"/>
    <w:rsid w:val="005257A8"/>
    <w:rsid w:val="00525B51"/>
    <w:rsid w:val="0052781E"/>
    <w:rsid w:val="00527F48"/>
    <w:rsid w:val="0053003C"/>
    <w:rsid w:val="00531A43"/>
    <w:rsid w:val="00532703"/>
    <w:rsid w:val="005333CE"/>
    <w:rsid w:val="00533A3F"/>
    <w:rsid w:val="0053434D"/>
    <w:rsid w:val="005405AB"/>
    <w:rsid w:val="0054102F"/>
    <w:rsid w:val="005410EC"/>
    <w:rsid w:val="005448CF"/>
    <w:rsid w:val="00546B8C"/>
    <w:rsid w:val="00547B81"/>
    <w:rsid w:val="005522B9"/>
    <w:rsid w:val="0055230D"/>
    <w:rsid w:val="00552432"/>
    <w:rsid w:val="00554137"/>
    <w:rsid w:val="005550E9"/>
    <w:rsid w:val="00555118"/>
    <w:rsid w:val="0056053A"/>
    <w:rsid w:val="00561DCD"/>
    <w:rsid w:val="0056247F"/>
    <w:rsid w:val="005626F9"/>
    <w:rsid w:val="00562CB8"/>
    <w:rsid w:val="00571AED"/>
    <w:rsid w:val="005724E0"/>
    <w:rsid w:val="0057303E"/>
    <w:rsid w:val="00573E10"/>
    <w:rsid w:val="005743F7"/>
    <w:rsid w:val="005759F9"/>
    <w:rsid w:val="005811F4"/>
    <w:rsid w:val="00585645"/>
    <w:rsid w:val="0058651D"/>
    <w:rsid w:val="00590612"/>
    <w:rsid w:val="00594C0A"/>
    <w:rsid w:val="00595928"/>
    <w:rsid w:val="0059696C"/>
    <w:rsid w:val="00597AB9"/>
    <w:rsid w:val="005A0813"/>
    <w:rsid w:val="005B1F1D"/>
    <w:rsid w:val="005B20E2"/>
    <w:rsid w:val="005B3F1D"/>
    <w:rsid w:val="005B4B58"/>
    <w:rsid w:val="005B58B3"/>
    <w:rsid w:val="005C27B0"/>
    <w:rsid w:val="005C3A2C"/>
    <w:rsid w:val="005C6435"/>
    <w:rsid w:val="005D324C"/>
    <w:rsid w:val="005D32D9"/>
    <w:rsid w:val="005D397B"/>
    <w:rsid w:val="005E2485"/>
    <w:rsid w:val="005E2618"/>
    <w:rsid w:val="005E2721"/>
    <w:rsid w:val="005E3C6D"/>
    <w:rsid w:val="005E3D72"/>
    <w:rsid w:val="005E7039"/>
    <w:rsid w:val="005F12AC"/>
    <w:rsid w:val="005F1D25"/>
    <w:rsid w:val="005F6A67"/>
    <w:rsid w:val="006000ED"/>
    <w:rsid w:val="00603360"/>
    <w:rsid w:val="00610104"/>
    <w:rsid w:val="00610E07"/>
    <w:rsid w:val="00613A5B"/>
    <w:rsid w:val="006142E7"/>
    <w:rsid w:val="00615A4B"/>
    <w:rsid w:val="00617D2F"/>
    <w:rsid w:val="00620DA8"/>
    <w:rsid w:val="00621BE4"/>
    <w:rsid w:val="0062313B"/>
    <w:rsid w:val="0062427E"/>
    <w:rsid w:val="00643B4F"/>
    <w:rsid w:val="00644A73"/>
    <w:rsid w:val="00650D62"/>
    <w:rsid w:val="0065350C"/>
    <w:rsid w:val="00662F75"/>
    <w:rsid w:val="00663B30"/>
    <w:rsid w:val="00664CCA"/>
    <w:rsid w:val="00666C30"/>
    <w:rsid w:val="00672EF5"/>
    <w:rsid w:val="00677FBF"/>
    <w:rsid w:val="00681A74"/>
    <w:rsid w:val="0068306F"/>
    <w:rsid w:val="006831C3"/>
    <w:rsid w:val="00685EA3"/>
    <w:rsid w:val="0069085F"/>
    <w:rsid w:val="00694047"/>
    <w:rsid w:val="00696A6F"/>
    <w:rsid w:val="006A5608"/>
    <w:rsid w:val="006A60C8"/>
    <w:rsid w:val="006A69F2"/>
    <w:rsid w:val="006B175D"/>
    <w:rsid w:val="006B28B3"/>
    <w:rsid w:val="006B68CF"/>
    <w:rsid w:val="006C1F60"/>
    <w:rsid w:val="006C30EA"/>
    <w:rsid w:val="006C3539"/>
    <w:rsid w:val="006C4B3B"/>
    <w:rsid w:val="006C6113"/>
    <w:rsid w:val="006C66E5"/>
    <w:rsid w:val="006D3C19"/>
    <w:rsid w:val="006D5580"/>
    <w:rsid w:val="006D670F"/>
    <w:rsid w:val="006E1A5C"/>
    <w:rsid w:val="006E3836"/>
    <w:rsid w:val="006E46DA"/>
    <w:rsid w:val="006E6F39"/>
    <w:rsid w:val="006F6283"/>
    <w:rsid w:val="006F7973"/>
    <w:rsid w:val="00701827"/>
    <w:rsid w:val="0070236B"/>
    <w:rsid w:val="007039B1"/>
    <w:rsid w:val="00707A3D"/>
    <w:rsid w:val="00712787"/>
    <w:rsid w:val="00714196"/>
    <w:rsid w:val="00714DAB"/>
    <w:rsid w:val="00716385"/>
    <w:rsid w:val="00716D41"/>
    <w:rsid w:val="00716F53"/>
    <w:rsid w:val="00726968"/>
    <w:rsid w:val="00727FD3"/>
    <w:rsid w:val="007302C6"/>
    <w:rsid w:val="00731F27"/>
    <w:rsid w:val="007337BA"/>
    <w:rsid w:val="00734897"/>
    <w:rsid w:val="0073499B"/>
    <w:rsid w:val="00736F8F"/>
    <w:rsid w:val="007400E7"/>
    <w:rsid w:val="00740691"/>
    <w:rsid w:val="00743D2E"/>
    <w:rsid w:val="007444A6"/>
    <w:rsid w:val="007449CD"/>
    <w:rsid w:val="007449F9"/>
    <w:rsid w:val="00745284"/>
    <w:rsid w:val="00747194"/>
    <w:rsid w:val="007473EB"/>
    <w:rsid w:val="00752FFA"/>
    <w:rsid w:val="00753BA5"/>
    <w:rsid w:val="0075659D"/>
    <w:rsid w:val="00756788"/>
    <w:rsid w:val="0075721D"/>
    <w:rsid w:val="0076020D"/>
    <w:rsid w:val="00760CD5"/>
    <w:rsid w:val="0076407F"/>
    <w:rsid w:val="0077016A"/>
    <w:rsid w:val="007713A3"/>
    <w:rsid w:val="00773324"/>
    <w:rsid w:val="007740E2"/>
    <w:rsid w:val="007815A6"/>
    <w:rsid w:val="00783D7C"/>
    <w:rsid w:val="007846C3"/>
    <w:rsid w:val="00785D0A"/>
    <w:rsid w:val="00786056"/>
    <w:rsid w:val="0078709A"/>
    <w:rsid w:val="007910DE"/>
    <w:rsid w:val="007918E0"/>
    <w:rsid w:val="00791E40"/>
    <w:rsid w:val="0079753E"/>
    <w:rsid w:val="007A03FA"/>
    <w:rsid w:val="007A27D8"/>
    <w:rsid w:val="007A7297"/>
    <w:rsid w:val="007B3747"/>
    <w:rsid w:val="007B718C"/>
    <w:rsid w:val="007C0D12"/>
    <w:rsid w:val="007C28D1"/>
    <w:rsid w:val="007C2A99"/>
    <w:rsid w:val="007C3A06"/>
    <w:rsid w:val="007C5478"/>
    <w:rsid w:val="007D3740"/>
    <w:rsid w:val="007D3CBB"/>
    <w:rsid w:val="007D3E3C"/>
    <w:rsid w:val="007D7096"/>
    <w:rsid w:val="007E4EC0"/>
    <w:rsid w:val="007E4ED2"/>
    <w:rsid w:val="007E54CD"/>
    <w:rsid w:val="007E62CD"/>
    <w:rsid w:val="007E714F"/>
    <w:rsid w:val="007F2E9B"/>
    <w:rsid w:val="007F4BF7"/>
    <w:rsid w:val="007F77F9"/>
    <w:rsid w:val="007F7FBE"/>
    <w:rsid w:val="0081024E"/>
    <w:rsid w:val="008109A5"/>
    <w:rsid w:val="00810A27"/>
    <w:rsid w:val="00814187"/>
    <w:rsid w:val="00817E83"/>
    <w:rsid w:val="008208C8"/>
    <w:rsid w:val="00821DFD"/>
    <w:rsid w:val="00836CA0"/>
    <w:rsid w:val="00840F05"/>
    <w:rsid w:val="0084224C"/>
    <w:rsid w:val="00846A8E"/>
    <w:rsid w:val="00847167"/>
    <w:rsid w:val="00847F81"/>
    <w:rsid w:val="00850577"/>
    <w:rsid w:val="008509C6"/>
    <w:rsid w:val="00850DC9"/>
    <w:rsid w:val="00860DF4"/>
    <w:rsid w:val="00860FE4"/>
    <w:rsid w:val="0086178B"/>
    <w:rsid w:val="00864310"/>
    <w:rsid w:val="0086568E"/>
    <w:rsid w:val="0086714D"/>
    <w:rsid w:val="00871BBE"/>
    <w:rsid w:val="00872C6A"/>
    <w:rsid w:val="00883D1B"/>
    <w:rsid w:val="00886887"/>
    <w:rsid w:val="00890BFF"/>
    <w:rsid w:val="00893199"/>
    <w:rsid w:val="00894949"/>
    <w:rsid w:val="008A3B65"/>
    <w:rsid w:val="008A6191"/>
    <w:rsid w:val="008A709C"/>
    <w:rsid w:val="008B7772"/>
    <w:rsid w:val="008C4FE2"/>
    <w:rsid w:val="008C6308"/>
    <w:rsid w:val="008C7898"/>
    <w:rsid w:val="008D029D"/>
    <w:rsid w:val="008D2F18"/>
    <w:rsid w:val="008D4B8D"/>
    <w:rsid w:val="008D4C2A"/>
    <w:rsid w:val="008D73F3"/>
    <w:rsid w:val="008D7EBB"/>
    <w:rsid w:val="008E0394"/>
    <w:rsid w:val="008E3C99"/>
    <w:rsid w:val="008E4888"/>
    <w:rsid w:val="008F1C1F"/>
    <w:rsid w:val="008F2174"/>
    <w:rsid w:val="008F224F"/>
    <w:rsid w:val="008F34DC"/>
    <w:rsid w:val="008F46BA"/>
    <w:rsid w:val="0090062D"/>
    <w:rsid w:val="009028C6"/>
    <w:rsid w:val="009032C2"/>
    <w:rsid w:val="00904894"/>
    <w:rsid w:val="00905BC6"/>
    <w:rsid w:val="00907440"/>
    <w:rsid w:val="00912EEB"/>
    <w:rsid w:val="00913262"/>
    <w:rsid w:val="00913F1F"/>
    <w:rsid w:val="00920EAD"/>
    <w:rsid w:val="00923507"/>
    <w:rsid w:val="0092365E"/>
    <w:rsid w:val="00925B56"/>
    <w:rsid w:val="0092621B"/>
    <w:rsid w:val="00930591"/>
    <w:rsid w:val="0093261D"/>
    <w:rsid w:val="00932AE2"/>
    <w:rsid w:val="009332D0"/>
    <w:rsid w:val="00935C10"/>
    <w:rsid w:val="00946018"/>
    <w:rsid w:val="009465BC"/>
    <w:rsid w:val="00951A91"/>
    <w:rsid w:val="0095359E"/>
    <w:rsid w:val="00955720"/>
    <w:rsid w:val="0095744B"/>
    <w:rsid w:val="00957B4B"/>
    <w:rsid w:val="00962780"/>
    <w:rsid w:val="00971406"/>
    <w:rsid w:val="00974F8C"/>
    <w:rsid w:val="009865C0"/>
    <w:rsid w:val="00987CA3"/>
    <w:rsid w:val="009911EC"/>
    <w:rsid w:val="00991ED3"/>
    <w:rsid w:val="009924F1"/>
    <w:rsid w:val="009A15A4"/>
    <w:rsid w:val="009A3FAD"/>
    <w:rsid w:val="009A430D"/>
    <w:rsid w:val="009B0928"/>
    <w:rsid w:val="009B52C2"/>
    <w:rsid w:val="009B5B0F"/>
    <w:rsid w:val="009C107E"/>
    <w:rsid w:val="009C311D"/>
    <w:rsid w:val="009C439B"/>
    <w:rsid w:val="009C7884"/>
    <w:rsid w:val="009D0C20"/>
    <w:rsid w:val="009D4054"/>
    <w:rsid w:val="009D4941"/>
    <w:rsid w:val="009D6C5E"/>
    <w:rsid w:val="009E0080"/>
    <w:rsid w:val="009E255B"/>
    <w:rsid w:val="009E5678"/>
    <w:rsid w:val="009E5BC4"/>
    <w:rsid w:val="009E672A"/>
    <w:rsid w:val="009E67E2"/>
    <w:rsid w:val="009F2846"/>
    <w:rsid w:val="00A0169C"/>
    <w:rsid w:val="00A019D3"/>
    <w:rsid w:val="00A02E02"/>
    <w:rsid w:val="00A044C6"/>
    <w:rsid w:val="00A04782"/>
    <w:rsid w:val="00A05B1E"/>
    <w:rsid w:val="00A13603"/>
    <w:rsid w:val="00A13D01"/>
    <w:rsid w:val="00A20EBC"/>
    <w:rsid w:val="00A22FEF"/>
    <w:rsid w:val="00A261FC"/>
    <w:rsid w:val="00A2628F"/>
    <w:rsid w:val="00A3016C"/>
    <w:rsid w:val="00A305E4"/>
    <w:rsid w:val="00A328A8"/>
    <w:rsid w:val="00A341F2"/>
    <w:rsid w:val="00A34FA0"/>
    <w:rsid w:val="00A36AD1"/>
    <w:rsid w:val="00A37FEA"/>
    <w:rsid w:val="00A455DA"/>
    <w:rsid w:val="00A4606E"/>
    <w:rsid w:val="00A50FAD"/>
    <w:rsid w:val="00A54213"/>
    <w:rsid w:val="00A55F5C"/>
    <w:rsid w:val="00A56D47"/>
    <w:rsid w:val="00A60D1E"/>
    <w:rsid w:val="00A66C50"/>
    <w:rsid w:val="00A72BAC"/>
    <w:rsid w:val="00A72F2E"/>
    <w:rsid w:val="00A77762"/>
    <w:rsid w:val="00A77CF6"/>
    <w:rsid w:val="00A816D2"/>
    <w:rsid w:val="00A87AC1"/>
    <w:rsid w:val="00A9402A"/>
    <w:rsid w:val="00A94A79"/>
    <w:rsid w:val="00A955FB"/>
    <w:rsid w:val="00AA4469"/>
    <w:rsid w:val="00AA6E86"/>
    <w:rsid w:val="00AB31A1"/>
    <w:rsid w:val="00AB3C53"/>
    <w:rsid w:val="00AB433B"/>
    <w:rsid w:val="00AC1844"/>
    <w:rsid w:val="00AC208A"/>
    <w:rsid w:val="00AC2F2E"/>
    <w:rsid w:val="00AC40EF"/>
    <w:rsid w:val="00AC410E"/>
    <w:rsid w:val="00AC4BFF"/>
    <w:rsid w:val="00AC6FEB"/>
    <w:rsid w:val="00AD0321"/>
    <w:rsid w:val="00AD2E34"/>
    <w:rsid w:val="00AD3EC2"/>
    <w:rsid w:val="00AD4F10"/>
    <w:rsid w:val="00AD6359"/>
    <w:rsid w:val="00AE4AC7"/>
    <w:rsid w:val="00AF3D0B"/>
    <w:rsid w:val="00AF3F57"/>
    <w:rsid w:val="00AF429B"/>
    <w:rsid w:val="00AF4CB0"/>
    <w:rsid w:val="00AF4E0F"/>
    <w:rsid w:val="00AF5D58"/>
    <w:rsid w:val="00AF68B0"/>
    <w:rsid w:val="00AF7941"/>
    <w:rsid w:val="00AF7C1D"/>
    <w:rsid w:val="00B07A00"/>
    <w:rsid w:val="00B15480"/>
    <w:rsid w:val="00B158B8"/>
    <w:rsid w:val="00B17479"/>
    <w:rsid w:val="00B21F4A"/>
    <w:rsid w:val="00B2575A"/>
    <w:rsid w:val="00B25D5A"/>
    <w:rsid w:val="00B260AE"/>
    <w:rsid w:val="00B2659D"/>
    <w:rsid w:val="00B26EB7"/>
    <w:rsid w:val="00B31D4A"/>
    <w:rsid w:val="00B324AB"/>
    <w:rsid w:val="00B32BF1"/>
    <w:rsid w:val="00B339E5"/>
    <w:rsid w:val="00B37A2B"/>
    <w:rsid w:val="00B43E72"/>
    <w:rsid w:val="00B44581"/>
    <w:rsid w:val="00B44F69"/>
    <w:rsid w:val="00B44F76"/>
    <w:rsid w:val="00B45DDF"/>
    <w:rsid w:val="00B479E8"/>
    <w:rsid w:val="00B50CF6"/>
    <w:rsid w:val="00B550A3"/>
    <w:rsid w:val="00B56DA6"/>
    <w:rsid w:val="00B61210"/>
    <w:rsid w:val="00B61E9B"/>
    <w:rsid w:val="00B660D4"/>
    <w:rsid w:val="00B759D1"/>
    <w:rsid w:val="00B85E7A"/>
    <w:rsid w:val="00B869E9"/>
    <w:rsid w:val="00B90395"/>
    <w:rsid w:val="00B92754"/>
    <w:rsid w:val="00B93223"/>
    <w:rsid w:val="00B95D2C"/>
    <w:rsid w:val="00B9713E"/>
    <w:rsid w:val="00BA374F"/>
    <w:rsid w:val="00BA4A1D"/>
    <w:rsid w:val="00BA718D"/>
    <w:rsid w:val="00BA7DF3"/>
    <w:rsid w:val="00BB0840"/>
    <w:rsid w:val="00BB295A"/>
    <w:rsid w:val="00BB2CB4"/>
    <w:rsid w:val="00BB4F96"/>
    <w:rsid w:val="00BC531D"/>
    <w:rsid w:val="00BC635B"/>
    <w:rsid w:val="00BC6888"/>
    <w:rsid w:val="00BC6A45"/>
    <w:rsid w:val="00BD075A"/>
    <w:rsid w:val="00BD13F5"/>
    <w:rsid w:val="00BD273A"/>
    <w:rsid w:val="00BD31DC"/>
    <w:rsid w:val="00BD6EC5"/>
    <w:rsid w:val="00BE0B2B"/>
    <w:rsid w:val="00BE2047"/>
    <w:rsid w:val="00BE323F"/>
    <w:rsid w:val="00BE541E"/>
    <w:rsid w:val="00BF14D4"/>
    <w:rsid w:val="00BF1AE4"/>
    <w:rsid w:val="00BF369E"/>
    <w:rsid w:val="00BF4A90"/>
    <w:rsid w:val="00BF6C36"/>
    <w:rsid w:val="00BF779F"/>
    <w:rsid w:val="00C00D45"/>
    <w:rsid w:val="00C0159D"/>
    <w:rsid w:val="00C04C31"/>
    <w:rsid w:val="00C06423"/>
    <w:rsid w:val="00C06861"/>
    <w:rsid w:val="00C101A8"/>
    <w:rsid w:val="00C11100"/>
    <w:rsid w:val="00C115E4"/>
    <w:rsid w:val="00C12A76"/>
    <w:rsid w:val="00C13376"/>
    <w:rsid w:val="00C1493B"/>
    <w:rsid w:val="00C17C47"/>
    <w:rsid w:val="00C23034"/>
    <w:rsid w:val="00C2401F"/>
    <w:rsid w:val="00C2417B"/>
    <w:rsid w:val="00C24500"/>
    <w:rsid w:val="00C26C02"/>
    <w:rsid w:val="00C26C92"/>
    <w:rsid w:val="00C3274D"/>
    <w:rsid w:val="00C33C11"/>
    <w:rsid w:val="00C36EE5"/>
    <w:rsid w:val="00C40A16"/>
    <w:rsid w:val="00C45098"/>
    <w:rsid w:val="00C51735"/>
    <w:rsid w:val="00C54C6C"/>
    <w:rsid w:val="00C55BBD"/>
    <w:rsid w:val="00C6097D"/>
    <w:rsid w:val="00C64A45"/>
    <w:rsid w:val="00C652E1"/>
    <w:rsid w:val="00C65861"/>
    <w:rsid w:val="00C678D0"/>
    <w:rsid w:val="00C71C0D"/>
    <w:rsid w:val="00C7235D"/>
    <w:rsid w:val="00C7268E"/>
    <w:rsid w:val="00C73B05"/>
    <w:rsid w:val="00C74010"/>
    <w:rsid w:val="00C76403"/>
    <w:rsid w:val="00C81228"/>
    <w:rsid w:val="00C81592"/>
    <w:rsid w:val="00C823EF"/>
    <w:rsid w:val="00C8472A"/>
    <w:rsid w:val="00C8490A"/>
    <w:rsid w:val="00C8683B"/>
    <w:rsid w:val="00C93DD4"/>
    <w:rsid w:val="00C94FEC"/>
    <w:rsid w:val="00C9530A"/>
    <w:rsid w:val="00C953B7"/>
    <w:rsid w:val="00C97229"/>
    <w:rsid w:val="00C97C27"/>
    <w:rsid w:val="00CA4E30"/>
    <w:rsid w:val="00CB09F2"/>
    <w:rsid w:val="00CB1545"/>
    <w:rsid w:val="00CB37A9"/>
    <w:rsid w:val="00CB38EF"/>
    <w:rsid w:val="00CC1CD3"/>
    <w:rsid w:val="00CC39A3"/>
    <w:rsid w:val="00CC6754"/>
    <w:rsid w:val="00CD2263"/>
    <w:rsid w:val="00CD3F57"/>
    <w:rsid w:val="00CD692F"/>
    <w:rsid w:val="00CE0988"/>
    <w:rsid w:val="00CE5056"/>
    <w:rsid w:val="00CF1DB7"/>
    <w:rsid w:val="00CF24E9"/>
    <w:rsid w:val="00CF283B"/>
    <w:rsid w:val="00CF320C"/>
    <w:rsid w:val="00CF6587"/>
    <w:rsid w:val="00D00ED9"/>
    <w:rsid w:val="00D05246"/>
    <w:rsid w:val="00D10184"/>
    <w:rsid w:val="00D11E80"/>
    <w:rsid w:val="00D15045"/>
    <w:rsid w:val="00D151B1"/>
    <w:rsid w:val="00D22C75"/>
    <w:rsid w:val="00D309EA"/>
    <w:rsid w:val="00D344E0"/>
    <w:rsid w:val="00D373F8"/>
    <w:rsid w:val="00D42843"/>
    <w:rsid w:val="00D44B5D"/>
    <w:rsid w:val="00D5551E"/>
    <w:rsid w:val="00D57104"/>
    <w:rsid w:val="00D6075B"/>
    <w:rsid w:val="00D612C0"/>
    <w:rsid w:val="00D62059"/>
    <w:rsid w:val="00D62C4E"/>
    <w:rsid w:val="00D62E91"/>
    <w:rsid w:val="00D63D09"/>
    <w:rsid w:val="00D646A1"/>
    <w:rsid w:val="00D652AF"/>
    <w:rsid w:val="00D6726E"/>
    <w:rsid w:val="00D67351"/>
    <w:rsid w:val="00D67AAC"/>
    <w:rsid w:val="00D7050C"/>
    <w:rsid w:val="00D70DB9"/>
    <w:rsid w:val="00D7116D"/>
    <w:rsid w:val="00D7416F"/>
    <w:rsid w:val="00D77A6E"/>
    <w:rsid w:val="00D83D2E"/>
    <w:rsid w:val="00D84041"/>
    <w:rsid w:val="00D86451"/>
    <w:rsid w:val="00D87B6D"/>
    <w:rsid w:val="00D90430"/>
    <w:rsid w:val="00D9178C"/>
    <w:rsid w:val="00D92DEC"/>
    <w:rsid w:val="00D95FCF"/>
    <w:rsid w:val="00DA244E"/>
    <w:rsid w:val="00DA44ED"/>
    <w:rsid w:val="00DA560D"/>
    <w:rsid w:val="00DA7DD9"/>
    <w:rsid w:val="00DB22BD"/>
    <w:rsid w:val="00DB311E"/>
    <w:rsid w:val="00DB32FD"/>
    <w:rsid w:val="00DB348E"/>
    <w:rsid w:val="00DB764C"/>
    <w:rsid w:val="00DC0D7D"/>
    <w:rsid w:val="00DC1E17"/>
    <w:rsid w:val="00DC6C04"/>
    <w:rsid w:val="00DD09AE"/>
    <w:rsid w:val="00DD0E72"/>
    <w:rsid w:val="00DD1273"/>
    <w:rsid w:val="00DD44F5"/>
    <w:rsid w:val="00DD519C"/>
    <w:rsid w:val="00DD5B4F"/>
    <w:rsid w:val="00DD67AE"/>
    <w:rsid w:val="00DE1F30"/>
    <w:rsid w:val="00DE41B8"/>
    <w:rsid w:val="00DE6B5A"/>
    <w:rsid w:val="00DE70BB"/>
    <w:rsid w:val="00DF3119"/>
    <w:rsid w:val="00DF4994"/>
    <w:rsid w:val="00DF7FCF"/>
    <w:rsid w:val="00E002CF"/>
    <w:rsid w:val="00E00BFC"/>
    <w:rsid w:val="00E00CF5"/>
    <w:rsid w:val="00E01443"/>
    <w:rsid w:val="00E036A5"/>
    <w:rsid w:val="00E04977"/>
    <w:rsid w:val="00E06F0E"/>
    <w:rsid w:val="00E1054F"/>
    <w:rsid w:val="00E240EA"/>
    <w:rsid w:val="00E2460A"/>
    <w:rsid w:val="00E24A7B"/>
    <w:rsid w:val="00E3229A"/>
    <w:rsid w:val="00E32E66"/>
    <w:rsid w:val="00E32F96"/>
    <w:rsid w:val="00E33D9C"/>
    <w:rsid w:val="00E34F8D"/>
    <w:rsid w:val="00E466BF"/>
    <w:rsid w:val="00E46CDB"/>
    <w:rsid w:val="00E5157E"/>
    <w:rsid w:val="00E53618"/>
    <w:rsid w:val="00E62D64"/>
    <w:rsid w:val="00E70B74"/>
    <w:rsid w:val="00E71E02"/>
    <w:rsid w:val="00E75274"/>
    <w:rsid w:val="00E75D18"/>
    <w:rsid w:val="00E75FD9"/>
    <w:rsid w:val="00E772D3"/>
    <w:rsid w:val="00E807D2"/>
    <w:rsid w:val="00E80D8D"/>
    <w:rsid w:val="00E8216A"/>
    <w:rsid w:val="00E8224A"/>
    <w:rsid w:val="00E8578D"/>
    <w:rsid w:val="00E877CF"/>
    <w:rsid w:val="00E91D04"/>
    <w:rsid w:val="00E92A85"/>
    <w:rsid w:val="00E93848"/>
    <w:rsid w:val="00E96A48"/>
    <w:rsid w:val="00EA365A"/>
    <w:rsid w:val="00EA3E0B"/>
    <w:rsid w:val="00EA4D5E"/>
    <w:rsid w:val="00EA732B"/>
    <w:rsid w:val="00EA7363"/>
    <w:rsid w:val="00EA7C1E"/>
    <w:rsid w:val="00EA7F07"/>
    <w:rsid w:val="00EB4855"/>
    <w:rsid w:val="00EB679C"/>
    <w:rsid w:val="00EB6F48"/>
    <w:rsid w:val="00EC107C"/>
    <w:rsid w:val="00EC3B28"/>
    <w:rsid w:val="00EC4265"/>
    <w:rsid w:val="00EC7D3B"/>
    <w:rsid w:val="00ED07D0"/>
    <w:rsid w:val="00ED1962"/>
    <w:rsid w:val="00ED2477"/>
    <w:rsid w:val="00ED28FB"/>
    <w:rsid w:val="00ED2FA6"/>
    <w:rsid w:val="00ED4791"/>
    <w:rsid w:val="00EE04D3"/>
    <w:rsid w:val="00EE05C5"/>
    <w:rsid w:val="00EE47F2"/>
    <w:rsid w:val="00EE4849"/>
    <w:rsid w:val="00EF1310"/>
    <w:rsid w:val="00EF1A66"/>
    <w:rsid w:val="00EF2D9B"/>
    <w:rsid w:val="00EF37E9"/>
    <w:rsid w:val="00EF74AE"/>
    <w:rsid w:val="00EF7850"/>
    <w:rsid w:val="00EF78DC"/>
    <w:rsid w:val="00EF78FB"/>
    <w:rsid w:val="00F0185B"/>
    <w:rsid w:val="00F02CB5"/>
    <w:rsid w:val="00F03290"/>
    <w:rsid w:val="00F068DD"/>
    <w:rsid w:val="00F0746E"/>
    <w:rsid w:val="00F1462C"/>
    <w:rsid w:val="00F157C0"/>
    <w:rsid w:val="00F20BC7"/>
    <w:rsid w:val="00F228A0"/>
    <w:rsid w:val="00F2460F"/>
    <w:rsid w:val="00F272DE"/>
    <w:rsid w:val="00F30D88"/>
    <w:rsid w:val="00F330A1"/>
    <w:rsid w:val="00F3692B"/>
    <w:rsid w:val="00F378C1"/>
    <w:rsid w:val="00F4042A"/>
    <w:rsid w:val="00F42A31"/>
    <w:rsid w:val="00F43742"/>
    <w:rsid w:val="00F44A22"/>
    <w:rsid w:val="00F466B2"/>
    <w:rsid w:val="00F5052E"/>
    <w:rsid w:val="00F5531B"/>
    <w:rsid w:val="00F619B1"/>
    <w:rsid w:val="00F627BD"/>
    <w:rsid w:val="00F62B7F"/>
    <w:rsid w:val="00F66376"/>
    <w:rsid w:val="00F677DA"/>
    <w:rsid w:val="00F70A72"/>
    <w:rsid w:val="00F779C4"/>
    <w:rsid w:val="00F8190A"/>
    <w:rsid w:val="00F86895"/>
    <w:rsid w:val="00F905B9"/>
    <w:rsid w:val="00F90A63"/>
    <w:rsid w:val="00F91A67"/>
    <w:rsid w:val="00F91BAF"/>
    <w:rsid w:val="00F9265E"/>
    <w:rsid w:val="00F93481"/>
    <w:rsid w:val="00F94934"/>
    <w:rsid w:val="00F96957"/>
    <w:rsid w:val="00FA0BFC"/>
    <w:rsid w:val="00FA130C"/>
    <w:rsid w:val="00FA26E3"/>
    <w:rsid w:val="00FA5A5A"/>
    <w:rsid w:val="00FA6C53"/>
    <w:rsid w:val="00FB13A3"/>
    <w:rsid w:val="00FB378C"/>
    <w:rsid w:val="00FB4380"/>
    <w:rsid w:val="00FB6987"/>
    <w:rsid w:val="00FC2272"/>
    <w:rsid w:val="00FC29C2"/>
    <w:rsid w:val="00FC4E1F"/>
    <w:rsid w:val="00FC61D9"/>
    <w:rsid w:val="00FC708C"/>
    <w:rsid w:val="00FD08BB"/>
    <w:rsid w:val="00FD130D"/>
    <w:rsid w:val="00FD3A48"/>
    <w:rsid w:val="00FD51C9"/>
    <w:rsid w:val="00FD5A24"/>
    <w:rsid w:val="00FD662C"/>
    <w:rsid w:val="00FE0AC1"/>
    <w:rsid w:val="00FE21FA"/>
    <w:rsid w:val="00FE2746"/>
    <w:rsid w:val="00FE379F"/>
    <w:rsid w:val="00FE68EF"/>
    <w:rsid w:val="00FE780C"/>
    <w:rsid w:val="00FF1280"/>
    <w:rsid w:val="00FF1BE5"/>
    <w:rsid w:val="00FF2054"/>
    <w:rsid w:val="00FF33D1"/>
    <w:rsid w:val="00FF555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8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208C8"/>
    <w:pPr>
      <w:spacing w:after="120" w:line="480" w:lineRule="auto"/>
    </w:pPr>
  </w:style>
  <w:style w:type="character" w:customStyle="1" w:styleId="20">
    <w:name w:val="Основной текст 2 Знак"/>
    <w:basedOn w:val="a0"/>
    <w:link w:val="2"/>
    <w:rsid w:val="008208C8"/>
    <w:rPr>
      <w:rFonts w:ascii="Times New Roman" w:eastAsia="Times New Roman" w:hAnsi="Times New Roman" w:cs="Times New Roman"/>
      <w:sz w:val="24"/>
      <w:szCs w:val="24"/>
      <w:lang w:eastAsia="ru-RU"/>
    </w:rPr>
  </w:style>
  <w:style w:type="paragraph" w:styleId="a3">
    <w:name w:val="footnote text"/>
    <w:basedOn w:val="a"/>
    <w:link w:val="a4"/>
    <w:semiHidden/>
    <w:rsid w:val="008208C8"/>
    <w:rPr>
      <w:sz w:val="20"/>
      <w:szCs w:val="20"/>
    </w:rPr>
  </w:style>
  <w:style w:type="character" w:customStyle="1" w:styleId="a4">
    <w:name w:val="Текст сноски Знак"/>
    <w:basedOn w:val="a0"/>
    <w:link w:val="a3"/>
    <w:semiHidden/>
    <w:rsid w:val="008208C8"/>
    <w:rPr>
      <w:rFonts w:ascii="Times New Roman" w:eastAsia="Times New Roman" w:hAnsi="Times New Roman" w:cs="Times New Roman"/>
      <w:sz w:val="20"/>
      <w:szCs w:val="20"/>
      <w:lang w:eastAsia="ru-RU"/>
    </w:rPr>
  </w:style>
  <w:style w:type="paragraph" w:styleId="a5">
    <w:name w:val="Body Text Indent"/>
    <w:basedOn w:val="a"/>
    <w:link w:val="a6"/>
    <w:rsid w:val="008208C8"/>
    <w:pPr>
      <w:spacing w:after="120"/>
      <w:ind w:left="283"/>
    </w:pPr>
  </w:style>
  <w:style w:type="character" w:customStyle="1" w:styleId="a6">
    <w:name w:val="Основной текст с отступом Знак"/>
    <w:basedOn w:val="a0"/>
    <w:link w:val="a5"/>
    <w:rsid w:val="008208C8"/>
    <w:rPr>
      <w:rFonts w:ascii="Times New Roman" w:eastAsia="Times New Roman" w:hAnsi="Times New Roman" w:cs="Times New Roman"/>
      <w:sz w:val="24"/>
      <w:szCs w:val="24"/>
      <w:lang w:eastAsia="ru-RU"/>
    </w:rPr>
  </w:style>
  <w:style w:type="paragraph" w:styleId="3">
    <w:name w:val="Body Text Indent 3"/>
    <w:basedOn w:val="a"/>
    <w:link w:val="30"/>
    <w:rsid w:val="008208C8"/>
    <w:pPr>
      <w:spacing w:after="120"/>
      <w:ind w:left="283"/>
    </w:pPr>
    <w:rPr>
      <w:sz w:val="16"/>
      <w:szCs w:val="16"/>
    </w:rPr>
  </w:style>
  <w:style w:type="character" w:customStyle="1" w:styleId="30">
    <w:name w:val="Основной текст с отступом 3 Знак"/>
    <w:basedOn w:val="a0"/>
    <w:link w:val="3"/>
    <w:rsid w:val="008208C8"/>
    <w:rPr>
      <w:rFonts w:ascii="Times New Roman" w:eastAsia="Times New Roman" w:hAnsi="Times New Roman" w:cs="Times New Roman"/>
      <w:sz w:val="16"/>
      <w:szCs w:val="16"/>
      <w:lang w:eastAsia="ru-RU"/>
    </w:rPr>
  </w:style>
  <w:style w:type="character" w:styleId="a7">
    <w:name w:val="footnote reference"/>
    <w:uiPriority w:val="99"/>
    <w:rsid w:val="008208C8"/>
    <w:rPr>
      <w:b/>
      <w:sz w:val="24"/>
      <w:szCs w:val="24"/>
      <w:vertAlign w:val="superscript"/>
      <w:lang w:val="ru-RU" w:eastAsia="en-US" w:bidi="ar-SA"/>
    </w:rPr>
  </w:style>
  <w:style w:type="paragraph" w:styleId="a8">
    <w:name w:val="Normal (Web)"/>
    <w:basedOn w:val="a"/>
    <w:rsid w:val="008208C8"/>
    <w:pPr>
      <w:spacing w:before="150" w:after="150"/>
      <w:ind w:left="150" w:right="150"/>
    </w:pPr>
    <w:rPr>
      <w:rFonts w:ascii="Verdana" w:eastAsia="Arial Unicode MS" w:hAnsi="Verdana" w:cs="Arial Unicode MS"/>
      <w:color w:val="000000"/>
      <w:sz w:val="17"/>
      <w:szCs w:val="17"/>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8208C8"/>
    <w:pPr>
      <w:spacing w:before="240"/>
      <w:ind w:firstLine="720"/>
    </w:pPr>
    <w:rPr>
      <w:b/>
      <w:lang w:eastAsia="en-US"/>
    </w:rPr>
  </w:style>
  <w:style w:type="paragraph" w:customStyle="1" w:styleId="21">
    <w:name w:val="Основной текст 21"/>
    <w:basedOn w:val="a"/>
    <w:rsid w:val="008208C8"/>
    <w:pPr>
      <w:widowControl w:val="0"/>
      <w:overflowPunct w:val="0"/>
      <w:autoSpaceDE w:val="0"/>
      <w:autoSpaceDN w:val="0"/>
      <w:adjustRightInd w:val="0"/>
      <w:spacing w:line="360" w:lineRule="auto"/>
      <w:ind w:firstLine="284"/>
      <w:jc w:val="both"/>
      <w:textAlignment w:val="baseline"/>
    </w:pPr>
    <w:rPr>
      <w:rFonts w:ascii="Arial" w:hAnsi="Arial"/>
      <w:sz w:val="22"/>
      <w:szCs w:val="20"/>
    </w:rPr>
  </w:style>
  <w:style w:type="paragraph" w:styleId="aa">
    <w:name w:val="Balloon Text"/>
    <w:basedOn w:val="a"/>
    <w:link w:val="ab"/>
    <w:uiPriority w:val="99"/>
    <w:semiHidden/>
    <w:unhideWhenUsed/>
    <w:rsid w:val="008208C8"/>
    <w:rPr>
      <w:rFonts w:ascii="Tahoma" w:hAnsi="Tahoma" w:cs="Tahoma"/>
      <w:sz w:val="16"/>
      <w:szCs w:val="16"/>
    </w:rPr>
  </w:style>
  <w:style w:type="character" w:customStyle="1" w:styleId="ab">
    <w:name w:val="Текст выноски Знак"/>
    <w:basedOn w:val="a0"/>
    <w:link w:val="aa"/>
    <w:uiPriority w:val="99"/>
    <w:semiHidden/>
    <w:rsid w:val="008208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8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208C8"/>
    <w:pPr>
      <w:spacing w:after="120" w:line="480" w:lineRule="auto"/>
    </w:pPr>
  </w:style>
  <w:style w:type="character" w:customStyle="1" w:styleId="20">
    <w:name w:val="Основной текст 2 Знак"/>
    <w:basedOn w:val="a0"/>
    <w:link w:val="2"/>
    <w:rsid w:val="008208C8"/>
    <w:rPr>
      <w:rFonts w:ascii="Times New Roman" w:eastAsia="Times New Roman" w:hAnsi="Times New Roman" w:cs="Times New Roman"/>
      <w:sz w:val="24"/>
      <w:szCs w:val="24"/>
      <w:lang w:eastAsia="ru-RU"/>
    </w:rPr>
  </w:style>
  <w:style w:type="paragraph" w:styleId="a3">
    <w:name w:val="footnote text"/>
    <w:basedOn w:val="a"/>
    <w:link w:val="a4"/>
    <w:semiHidden/>
    <w:rsid w:val="008208C8"/>
    <w:rPr>
      <w:sz w:val="20"/>
      <w:szCs w:val="20"/>
    </w:rPr>
  </w:style>
  <w:style w:type="character" w:customStyle="1" w:styleId="a4">
    <w:name w:val="Текст сноски Знак"/>
    <w:basedOn w:val="a0"/>
    <w:link w:val="a3"/>
    <w:semiHidden/>
    <w:rsid w:val="008208C8"/>
    <w:rPr>
      <w:rFonts w:ascii="Times New Roman" w:eastAsia="Times New Roman" w:hAnsi="Times New Roman" w:cs="Times New Roman"/>
      <w:sz w:val="20"/>
      <w:szCs w:val="20"/>
      <w:lang w:eastAsia="ru-RU"/>
    </w:rPr>
  </w:style>
  <w:style w:type="paragraph" w:styleId="a5">
    <w:name w:val="Body Text Indent"/>
    <w:basedOn w:val="a"/>
    <w:link w:val="a6"/>
    <w:rsid w:val="008208C8"/>
    <w:pPr>
      <w:spacing w:after="120"/>
      <w:ind w:left="283"/>
    </w:pPr>
  </w:style>
  <w:style w:type="character" w:customStyle="1" w:styleId="a6">
    <w:name w:val="Основной текст с отступом Знак"/>
    <w:basedOn w:val="a0"/>
    <w:link w:val="a5"/>
    <w:rsid w:val="008208C8"/>
    <w:rPr>
      <w:rFonts w:ascii="Times New Roman" w:eastAsia="Times New Roman" w:hAnsi="Times New Roman" w:cs="Times New Roman"/>
      <w:sz w:val="24"/>
      <w:szCs w:val="24"/>
      <w:lang w:eastAsia="ru-RU"/>
    </w:rPr>
  </w:style>
  <w:style w:type="paragraph" w:styleId="3">
    <w:name w:val="Body Text Indent 3"/>
    <w:basedOn w:val="a"/>
    <w:link w:val="30"/>
    <w:rsid w:val="008208C8"/>
    <w:pPr>
      <w:spacing w:after="120"/>
      <w:ind w:left="283"/>
    </w:pPr>
    <w:rPr>
      <w:sz w:val="16"/>
      <w:szCs w:val="16"/>
    </w:rPr>
  </w:style>
  <w:style w:type="character" w:customStyle="1" w:styleId="30">
    <w:name w:val="Основной текст с отступом 3 Знак"/>
    <w:basedOn w:val="a0"/>
    <w:link w:val="3"/>
    <w:rsid w:val="008208C8"/>
    <w:rPr>
      <w:rFonts w:ascii="Times New Roman" w:eastAsia="Times New Roman" w:hAnsi="Times New Roman" w:cs="Times New Roman"/>
      <w:sz w:val="16"/>
      <w:szCs w:val="16"/>
      <w:lang w:eastAsia="ru-RU"/>
    </w:rPr>
  </w:style>
  <w:style w:type="character" w:styleId="a7">
    <w:name w:val="footnote reference"/>
    <w:uiPriority w:val="99"/>
    <w:rsid w:val="008208C8"/>
    <w:rPr>
      <w:b/>
      <w:sz w:val="24"/>
      <w:szCs w:val="24"/>
      <w:vertAlign w:val="superscript"/>
      <w:lang w:val="ru-RU" w:eastAsia="en-US" w:bidi="ar-SA"/>
    </w:rPr>
  </w:style>
  <w:style w:type="paragraph" w:styleId="a8">
    <w:name w:val="Normal (Web)"/>
    <w:basedOn w:val="a"/>
    <w:rsid w:val="008208C8"/>
    <w:pPr>
      <w:spacing w:before="150" w:after="150"/>
      <w:ind w:left="150" w:right="150"/>
    </w:pPr>
    <w:rPr>
      <w:rFonts w:ascii="Verdana" w:eastAsia="Arial Unicode MS" w:hAnsi="Verdana" w:cs="Arial Unicode MS"/>
      <w:color w:val="000000"/>
      <w:sz w:val="17"/>
      <w:szCs w:val="17"/>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8208C8"/>
    <w:pPr>
      <w:spacing w:before="240"/>
      <w:ind w:firstLine="720"/>
    </w:pPr>
    <w:rPr>
      <w:b/>
      <w:lang w:eastAsia="en-US"/>
    </w:rPr>
  </w:style>
  <w:style w:type="paragraph" w:customStyle="1" w:styleId="21">
    <w:name w:val="Основной текст 21"/>
    <w:basedOn w:val="a"/>
    <w:rsid w:val="008208C8"/>
    <w:pPr>
      <w:widowControl w:val="0"/>
      <w:overflowPunct w:val="0"/>
      <w:autoSpaceDE w:val="0"/>
      <w:autoSpaceDN w:val="0"/>
      <w:adjustRightInd w:val="0"/>
      <w:spacing w:line="360" w:lineRule="auto"/>
      <w:ind w:firstLine="284"/>
      <w:jc w:val="both"/>
      <w:textAlignment w:val="baseline"/>
    </w:pPr>
    <w:rPr>
      <w:rFonts w:ascii="Arial" w:hAnsi="Arial"/>
      <w:sz w:val="22"/>
      <w:szCs w:val="20"/>
    </w:rPr>
  </w:style>
  <w:style w:type="paragraph" w:styleId="aa">
    <w:name w:val="Balloon Text"/>
    <w:basedOn w:val="a"/>
    <w:link w:val="ab"/>
    <w:uiPriority w:val="99"/>
    <w:semiHidden/>
    <w:unhideWhenUsed/>
    <w:rsid w:val="008208C8"/>
    <w:rPr>
      <w:rFonts w:ascii="Tahoma" w:hAnsi="Tahoma" w:cs="Tahoma"/>
      <w:sz w:val="16"/>
      <w:szCs w:val="16"/>
    </w:rPr>
  </w:style>
  <w:style w:type="character" w:customStyle="1" w:styleId="ab">
    <w:name w:val="Текст выноски Знак"/>
    <w:basedOn w:val="a0"/>
    <w:link w:val="aa"/>
    <w:uiPriority w:val="99"/>
    <w:semiHidden/>
    <w:rsid w:val="008208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3512</Words>
  <Characters>20020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Элефтеров Дмитрий Петрович</dc:creator>
  <cp:lastModifiedBy>Элефтеров Дмитрий Петрович</cp:lastModifiedBy>
  <cp:revision>3</cp:revision>
  <dcterms:created xsi:type="dcterms:W3CDTF">2019-04-18T11:36:00Z</dcterms:created>
  <dcterms:modified xsi:type="dcterms:W3CDTF">2019-04-18T11:42:00Z</dcterms:modified>
</cp:coreProperties>
</file>