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B7" w:rsidRPr="00CD1ED7" w:rsidRDefault="009A6203" w:rsidP="00CD1ED7">
      <w:pPr>
        <w:pStyle w:val="a3"/>
        <w:spacing w:before="150" w:beforeAutospacing="0" w:after="150" w:afterAutospacing="0"/>
        <w:ind w:right="147"/>
        <w:jc w:val="left"/>
        <w:rPr>
          <w:rFonts w:ascii="Arial" w:hAnsi="Arial" w:cs="Arial"/>
          <w:b/>
          <w:bCs/>
          <w:sz w:val="20"/>
          <w:szCs w:val="20"/>
        </w:rPr>
      </w:pPr>
      <w:r w:rsidRPr="00CD1ED7">
        <w:rPr>
          <w:rFonts w:ascii="Arial" w:hAnsi="Arial" w:cs="Arial"/>
          <w:b/>
          <w:bCs/>
          <w:sz w:val="20"/>
          <w:szCs w:val="20"/>
        </w:rPr>
        <w:t xml:space="preserve">НАУКА, </w:t>
      </w:r>
      <w:r w:rsidR="005E59B7" w:rsidRPr="00CD1ED7">
        <w:rPr>
          <w:rFonts w:ascii="Arial" w:hAnsi="Arial" w:cs="Arial"/>
          <w:b/>
          <w:bCs/>
          <w:sz w:val="20"/>
          <w:szCs w:val="20"/>
        </w:rPr>
        <w:t>ИННОВАЦИИ</w:t>
      </w:r>
      <w:r w:rsidRPr="00CD1ED7">
        <w:rPr>
          <w:rFonts w:ascii="Arial" w:hAnsi="Arial" w:cs="Arial"/>
          <w:b/>
          <w:bCs/>
          <w:sz w:val="20"/>
          <w:szCs w:val="20"/>
        </w:rPr>
        <w:t xml:space="preserve"> И ИНФОРМАЦИОННОЕ ОБЩЕСТВО</w:t>
      </w:r>
    </w:p>
    <w:p w:rsidR="00BF0D4B" w:rsidRPr="00AC4AB6" w:rsidRDefault="00BF0D4B" w:rsidP="00BF0D4B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Деятельно</w:t>
      </w:r>
      <w:r w:rsidR="00AE007B">
        <w:rPr>
          <w:rFonts w:ascii="Arial" w:hAnsi="Arial" w:cs="Arial"/>
          <w:b/>
          <w:bCs/>
          <w:sz w:val="20"/>
          <w:szCs w:val="20"/>
        </w:rPr>
        <w:t>сть в сфере телекоммуникаций</w:t>
      </w:r>
    </w:p>
    <w:p w:rsidR="00AC4AB6" w:rsidRPr="00E8384E" w:rsidRDefault="00AC4AB6" w:rsidP="00E8384E">
      <w:pPr>
        <w:pStyle w:val="a3"/>
        <w:ind w:firstLine="708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Cs/>
          <w:color w:val="000000" w:themeColor="text1"/>
          <w:sz w:val="20"/>
          <w:szCs w:val="20"/>
        </w:rPr>
        <w:t>В соответствии с Общероссийским классификатором видов экономической деятельности ОК 029-2014 (КДЕС Ред. 2) (принят и введен в действие приказом Росстандарта от 31 января 2014 г. № 14-ст, с изменениями) деятельность в сфере телекоммуникаций (код 61) включает в себя деятельность по передаче голоса, данных, текста, звука, видео.</w:t>
      </w:r>
      <w:r w:rsidR="00E8384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E8384E">
        <w:rPr>
          <w:rFonts w:ascii="Arial" w:hAnsi="Arial" w:cs="Arial"/>
          <w:bCs/>
          <w:color w:val="000000" w:themeColor="text1"/>
          <w:sz w:val="20"/>
          <w:szCs w:val="20"/>
        </w:rPr>
        <w:t>Средства передачи, с помощью которых осуществляются указанные виды деятельности, могут базироваться на одной или комбинации нескольких технологий. Общей особенностью классифицируемых в данной группировке видов деятельности является передача контента без участия в его создании.</w:t>
      </w:r>
    </w:p>
    <w:p w:rsidR="00AC4AB6" w:rsidRPr="00E8384E" w:rsidRDefault="00AC4AB6" w:rsidP="00AC4AB6">
      <w:pPr>
        <w:pStyle w:val="a3"/>
        <w:ind w:firstLine="708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Cs/>
          <w:color w:val="000000" w:themeColor="text1"/>
          <w:sz w:val="20"/>
          <w:szCs w:val="20"/>
        </w:rPr>
        <w:t>Деятельность в сфере телекоммуникаций также включает:</w:t>
      </w:r>
    </w:p>
    <w:p w:rsidR="00AC4AB6" w:rsidRPr="00E8384E" w:rsidRDefault="00E476D4" w:rsidP="00AC4AB6">
      <w:pPr>
        <w:pStyle w:val="a3"/>
        <w:ind w:firstLine="708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r w:rsidR="00AC4AB6" w:rsidRPr="00E8384E">
        <w:rPr>
          <w:rFonts w:ascii="Arial" w:hAnsi="Arial" w:cs="Arial"/>
          <w:bCs/>
          <w:color w:val="000000" w:themeColor="text1"/>
          <w:sz w:val="20"/>
          <w:szCs w:val="20"/>
        </w:rPr>
        <w:t>деятельность по трансляции телерадиоканалов по сетям наземного эфирного, кабельного, спутникового телерадиовещания, проводного радиовещания или с использованием информационно-коммуникационной сети Интернет;</w:t>
      </w:r>
    </w:p>
    <w:p w:rsidR="00175D19" w:rsidRDefault="00E476D4" w:rsidP="00175D19">
      <w:pPr>
        <w:spacing w:before="120" w:after="120"/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r w:rsidR="00AC4AB6" w:rsidRPr="00E8384E">
        <w:rPr>
          <w:rFonts w:ascii="Arial" w:hAnsi="Arial" w:cs="Arial"/>
          <w:bCs/>
          <w:color w:val="000000" w:themeColor="text1"/>
          <w:sz w:val="20"/>
          <w:szCs w:val="20"/>
        </w:rPr>
        <w:t>деятельность по формированию пакетов телерадиоканалов для последующей трансляции по сетям наземного эфирного, кабельного, спутникового телерадиовещания, проводного радиовещания или с использованием информационно-коммуникационной сети Интернет.</w:t>
      </w:r>
    </w:p>
    <w:p w:rsidR="00E476D4" w:rsidRPr="002B2E83" w:rsidRDefault="00E476D4" w:rsidP="00175D19">
      <w:pPr>
        <w:spacing w:before="120" w:after="12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При сборе первичных статистических данных и публикации официальной статистической информации, характеризующей деятельность в сфере телекоммуникаций, используются</w:t>
      </w:r>
      <w:r w:rsidR="002B2E83">
        <w:rPr>
          <w:rFonts w:ascii="Arial" w:hAnsi="Arial" w:cs="Arial"/>
          <w:color w:val="000000" w:themeColor="text1"/>
          <w:sz w:val="20"/>
          <w:szCs w:val="20"/>
        </w:rPr>
        <w:t xml:space="preserve"> следующий понятия и определения</w:t>
      </w:r>
      <w:r w:rsidR="002B2E83" w:rsidRPr="002B2E83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AC4AB6" w:rsidRPr="00E8384E" w:rsidRDefault="00175D19" w:rsidP="00175D19">
      <w:pPr>
        <w:spacing w:before="120" w:after="12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 xml:space="preserve">Объем услуг в сфере телекоммуникаций 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>– стоимость оказанных юридическим лицам, населению услуг электросвязи, услуг присоединения и пропуска трафика, услуг по обеспечению регулирования использования радиочастотного спектра и радиоэлектронных средств.</w:t>
      </w:r>
    </w:p>
    <w:p w:rsidR="00A20B3A" w:rsidRPr="00E8384E" w:rsidRDefault="00D70473" w:rsidP="00A20B3A">
      <w:pPr>
        <w:spacing w:before="120" w:after="120"/>
        <w:rPr>
          <w:rFonts w:ascii="Arial" w:hAnsi="Arial" w:cs="Arial"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color w:val="000000" w:themeColor="text1"/>
          <w:sz w:val="20"/>
          <w:szCs w:val="20"/>
        </w:rPr>
        <w:t>Основные понятия и определения приведены в соответствии с Федеральными законами от 07.07.2003 № 1</w:t>
      </w:r>
      <w:r w:rsidR="00AE007B" w:rsidRPr="00E8384E">
        <w:rPr>
          <w:rFonts w:ascii="Arial" w:hAnsi="Arial" w:cs="Arial"/>
          <w:color w:val="000000" w:themeColor="text1"/>
          <w:sz w:val="20"/>
          <w:szCs w:val="20"/>
        </w:rPr>
        <w:t>26-ФЗ (с изменениями) «О связи».</w:t>
      </w:r>
    </w:p>
    <w:p w:rsidR="00E476D4" w:rsidRDefault="00D70473" w:rsidP="00E476D4">
      <w:pPr>
        <w:spacing w:before="120" w:after="120"/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Оператор связи</w:t>
      </w:r>
      <w:r w:rsidR="006A7158">
        <w:rPr>
          <w:rStyle w:val="af2"/>
          <w:rFonts w:ascii="Arial" w:hAnsi="Arial" w:cs="Arial"/>
          <w:color w:val="000000" w:themeColor="text1"/>
          <w:sz w:val="20"/>
          <w:szCs w:val="20"/>
        </w:rPr>
        <w:footnoteReference w:id="1"/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юридическое лицо или индивидуальный предприниматель, оказывающие услуги связи на основании соответствующей лицензии.</w:t>
      </w:r>
    </w:p>
    <w:p w:rsidR="00E476D4" w:rsidRDefault="00E476D4" w:rsidP="00E476D4">
      <w:pPr>
        <w:spacing w:before="120" w:after="120"/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Электросвязь</w:t>
      </w:r>
      <w:r w:rsidR="006A7158" w:rsidRPr="006A7158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любые излучения, передача или прием знаков, сигналов голосовой информации, письменного текста, изображений, звуков или сообщений любого рода по радиосистеме, проводной, оптической или другим электромагнитным системам. Включает сети и средства, обеспечивающие телефонную, телеграфную, факсимильную связь, передачу данных и других видов документальных сообщений (включая обмен информацией между ЭВМ), а также телевизионное, звуковое и иные виды радио- и проводного вещания.</w:t>
      </w:r>
      <w:r w:rsidRPr="00E476D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476D4" w:rsidRPr="00E8384E" w:rsidRDefault="008669E8" w:rsidP="00E476D4">
      <w:pPr>
        <w:spacing w:before="120" w:after="12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Л</w:t>
      </w:r>
      <w:r w:rsidRPr="008669E8">
        <w:rPr>
          <w:rFonts w:ascii="Arial" w:hAnsi="Arial" w:cs="Arial"/>
          <w:b/>
          <w:color w:val="000000" w:themeColor="text1"/>
          <w:sz w:val="20"/>
          <w:szCs w:val="20"/>
        </w:rPr>
        <w:t>инии связи</w:t>
      </w:r>
      <w:r w:rsidR="002B2E83" w:rsidRPr="002B2E83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8669E8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8669E8">
        <w:rPr>
          <w:rFonts w:ascii="Arial" w:hAnsi="Arial" w:cs="Arial"/>
          <w:color w:val="000000" w:themeColor="text1"/>
          <w:sz w:val="20"/>
          <w:szCs w:val="20"/>
        </w:rPr>
        <w:t>линии передачи, физические цепи и линейно-кабельные сооружения связи</w:t>
      </w:r>
      <w:r w:rsidR="00E476D4" w:rsidRPr="00E8384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476D4" w:rsidRDefault="00E476D4" w:rsidP="00E476D4">
      <w:pPr>
        <w:spacing w:before="120" w:after="120"/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Линии электросвязи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это линии передачи, физические цепи и линейно-кабельные сооружения связи.</w:t>
      </w:r>
      <w:r w:rsidRPr="00E476D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476D4" w:rsidRDefault="00E476D4" w:rsidP="00E476D4">
      <w:pPr>
        <w:spacing w:before="120" w:after="120"/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Сеть связи общего пользования</w:t>
      </w:r>
      <w:r w:rsidR="006A7158">
        <w:rPr>
          <w:rStyle w:val="af2"/>
          <w:rFonts w:ascii="Arial" w:hAnsi="Arial" w:cs="Arial"/>
          <w:b/>
          <w:color w:val="000000" w:themeColor="text1"/>
          <w:sz w:val="20"/>
          <w:szCs w:val="20"/>
        </w:rPr>
        <w:footnoteReference w:id="2"/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предназначена для возмездного оказания услуг электросвязи любому пользователю услугами связи на </w:t>
      </w:r>
      <w:r w:rsidRPr="003D1495">
        <w:rPr>
          <w:rFonts w:ascii="Arial" w:hAnsi="Arial" w:cs="Arial"/>
          <w:color w:val="000000" w:themeColor="text1"/>
          <w:sz w:val="20"/>
          <w:szCs w:val="20"/>
        </w:rPr>
        <w:t>территории Российской Федерации и включает в себя сети электросвязи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>, определяемые географически в пределах обслуживаемой территории и ресурса нумерации и не определяемые географически в пределах территории Российской Федерации и ресурса нумерации, а также сети связи, определяемые по технологии ре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ализации оказания услуг связи. 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>Сеть связи общего пользования представляет собой комплекс взаимодействующих сетей электросвязи, в том числе сети связи для трансляции телеканалов и (или) радиоканалов. Сеть связи общего пользования имеет присоединение к сетям связи общего пользования иностранных государств.</w:t>
      </w:r>
    </w:p>
    <w:p w:rsidR="00E476D4" w:rsidRDefault="00E476D4" w:rsidP="00E476D4">
      <w:pPr>
        <w:spacing w:before="120" w:after="120"/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Телефонная связь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обеспечение осуществления местных (городских и сельских), междугородных и международных телефонных разговоров, организация передачи данных по телефонным каналам.</w:t>
      </w:r>
      <w:r w:rsidRPr="00E476D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476D4" w:rsidRPr="00E8384E" w:rsidRDefault="00E476D4" w:rsidP="00E476D4">
      <w:pPr>
        <w:spacing w:before="120" w:after="12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Телефонные аппараты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основные и дополнительные (параллельные) аппараты, включенные в сеть, аппараты, подсоединенные к учрежденческим телефонным станциям, имеющим выход на данную сеть и таксофоны всех типов, с помощью которых предоставляются услуги местной, внутризоновой,  междугородной и международной связи.</w:t>
      </w:r>
    </w:p>
    <w:p w:rsidR="00E476D4" w:rsidRPr="00E8384E" w:rsidRDefault="00E476D4" w:rsidP="00E476D4">
      <w:pPr>
        <w:spacing w:before="120" w:after="12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Основные телефонные аппараты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телефонные аппараты, имеющие самостоятельные  номера на городской телефонной станции, в том числе телефонные аппараты, включенные по спаренной схеме, предназначенные для общего пользования, а также телефонные аппараты сети «Искра</w:t>
      </w: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»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D040B" w:rsidRDefault="00E476D4" w:rsidP="002D040B">
      <w:pPr>
        <w:spacing w:before="120" w:after="120"/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Дополнительные (параллельные) телефонные аппараты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- аппараты, присоединенные к общей линии с основным аппаратом и не имеющие самостоятельного номера на станции.</w:t>
      </w:r>
      <w:r w:rsidR="002D040B" w:rsidRPr="002D040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476D4" w:rsidRPr="002D040B" w:rsidRDefault="002D040B" w:rsidP="002D040B">
      <w:pPr>
        <w:spacing w:before="120" w:after="12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Квартирные телефонные аппараты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телефонные аппараты, установленные в квартирах (жилых домах).</w:t>
      </w:r>
    </w:p>
    <w:p w:rsidR="002D040B" w:rsidRDefault="00E476D4" w:rsidP="002D040B">
      <w:pPr>
        <w:spacing w:before="120" w:after="120"/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Таксофоны универсальные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таксофоны, с которых осуществляются как междугородные и международные, так и местные телефонные соединения.</w:t>
      </w:r>
    </w:p>
    <w:p w:rsidR="00E476D4" w:rsidRPr="002D040B" w:rsidRDefault="002D040B" w:rsidP="002D040B">
      <w:pPr>
        <w:spacing w:before="120" w:after="12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Сотовая связь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мобильная система радиотелефонной связи. Принцип действия этой системы заключается в том, что принимающие станции с выходом на АТС покрывают город (район). По мере перемещения владельца сотового радиотелефона он автоматически переключается с одной станции на другую.</w:t>
      </w:r>
    </w:p>
    <w:p w:rsidR="00D70473" w:rsidRPr="00E476D4" w:rsidRDefault="00E476D4" w:rsidP="00E476D4">
      <w:pPr>
        <w:spacing w:before="120" w:after="12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Базовая станция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приемно-передающее устройство, предназначенное для обслуживания абонентских терминалов (телефонов).</w:t>
      </w:r>
    </w:p>
    <w:p w:rsidR="00D70473" w:rsidRPr="00E8384E" w:rsidRDefault="00D70473" w:rsidP="00BF0D4B">
      <w:pPr>
        <w:spacing w:before="120" w:after="12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Абонентский терминал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телефон с установленной SIM-картой.</w:t>
      </w:r>
    </w:p>
    <w:p w:rsidR="00D70473" w:rsidRPr="00E8384E" w:rsidRDefault="00D70473" w:rsidP="00BF0D4B">
      <w:pPr>
        <w:spacing w:before="120" w:after="12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Стандарты сотовой связи: GSM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глобальная система мобильной связи (цифровой стандарт сотовой связи в диапазонах частот – 900/1800/1900 МГц); </w:t>
      </w: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NMT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аналоговый стандарт сотовой связи; </w:t>
      </w: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AMPS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усовершенствованная мобильная телефонная система (стандарт сотовой связи в диапазоне 800 МГц (</w:t>
      </w: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модификация AMPS – NAMPS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)); </w:t>
      </w: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IMT-2000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международная система мобильной связи 2000 (технология третьего поколения на основе G3).</w:t>
      </w:r>
    </w:p>
    <w:p w:rsidR="00E476D4" w:rsidRDefault="00D70473" w:rsidP="00E476D4">
      <w:pPr>
        <w:spacing w:before="120" w:after="120"/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Обеспеченность (телефонная плотность) населения фиксированной и подвижной связью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исчисляется как отношение количества телефонных аппаратов (квартирных телефонных аппаратов, абонентских устройств сотовой связи) к численности населения.</w:t>
      </w:r>
      <w:r w:rsidR="00E476D4" w:rsidRPr="00E476D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2B2E83" w:rsidRDefault="00E476D4" w:rsidP="002B2E83">
      <w:pPr>
        <w:spacing w:before="120" w:after="120"/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Охват населения телевизионным (радио) вещанием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исчисляется как отношение числа жителей, имеющих возможность принимать телевизионные (радио) программы, к общей численности населения субъекта Российской Федерации.</w:t>
      </w:r>
      <w:r w:rsidR="002B2E83" w:rsidRPr="002B2E8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476D4" w:rsidRDefault="002B2E83" w:rsidP="002B2E83">
      <w:pPr>
        <w:spacing w:before="120" w:after="12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Радиосвязь, радио- и телевизионное вещание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- передача программ радио и телевидения в эфир, предоставление радиоканалов для передачи телефонно-телеграфных сообщений, цифровой информации.</w:t>
      </w:r>
    </w:p>
    <w:p w:rsidR="004B65B6" w:rsidRPr="004B65B6" w:rsidRDefault="004B65B6" w:rsidP="004B65B6">
      <w:pPr>
        <w:spacing w:before="120" w:after="12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4B65B6">
        <w:rPr>
          <w:rFonts w:ascii="Arial" w:hAnsi="Arial" w:cs="Arial"/>
          <w:b/>
          <w:color w:val="000000" w:themeColor="text1"/>
          <w:sz w:val="20"/>
          <w:szCs w:val="20"/>
        </w:rPr>
        <w:t>Абоненты мобильного широкополосного доступа к сети Интерне</w:t>
      </w:r>
      <w:r w:rsidRPr="004B65B6">
        <w:rPr>
          <w:rFonts w:ascii="Arial" w:hAnsi="Arial" w:cs="Arial"/>
          <w:b/>
          <w:color w:val="000000" w:themeColor="text1"/>
          <w:sz w:val="20"/>
          <w:szCs w:val="20"/>
        </w:rPr>
        <w:t>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активные абоненты сетей под</w:t>
      </w:r>
      <w:r w:rsidRPr="004B65B6">
        <w:rPr>
          <w:rFonts w:ascii="Arial" w:hAnsi="Arial" w:cs="Arial"/>
          <w:color w:val="000000" w:themeColor="text1"/>
          <w:sz w:val="20"/>
          <w:szCs w:val="20"/>
        </w:rPr>
        <w:t>вижной радиотелефонной связи, у которых тарифным планом предусмот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рена возможность доступа к сети </w:t>
      </w:r>
      <w:r w:rsidRPr="004B65B6">
        <w:rPr>
          <w:rFonts w:ascii="Arial" w:hAnsi="Arial" w:cs="Arial"/>
          <w:color w:val="000000" w:themeColor="text1"/>
          <w:sz w:val="20"/>
          <w:szCs w:val="20"/>
        </w:rPr>
        <w:t>Интернет со скоростью 256 Кбит/с и выше.</w:t>
      </w:r>
    </w:p>
    <w:p w:rsidR="004B65B6" w:rsidRPr="004B65B6" w:rsidRDefault="004B65B6" w:rsidP="004B65B6">
      <w:pPr>
        <w:spacing w:before="120" w:after="12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4B65B6">
        <w:rPr>
          <w:rFonts w:ascii="Arial" w:hAnsi="Arial" w:cs="Arial"/>
          <w:b/>
          <w:color w:val="000000" w:themeColor="text1"/>
          <w:sz w:val="20"/>
          <w:szCs w:val="20"/>
        </w:rPr>
        <w:t>Абоненты фиксированного доступа к сети Интернет</w:t>
      </w:r>
      <w:r w:rsidRPr="004B65B6">
        <w:rPr>
          <w:rFonts w:ascii="Arial" w:hAnsi="Arial" w:cs="Arial"/>
          <w:color w:val="000000" w:themeColor="text1"/>
          <w:sz w:val="20"/>
          <w:szCs w:val="20"/>
        </w:rPr>
        <w:t xml:space="preserve"> – активные аб</w:t>
      </w:r>
      <w:r>
        <w:rPr>
          <w:rFonts w:ascii="Arial" w:hAnsi="Arial" w:cs="Arial"/>
          <w:color w:val="000000" w:themeColor="text1"/>
          <w:sz w:val="20"/>
          <w:szCs w:val="20"/>
        </w:rPr>
        <w:t>оненты услуг доступа к сети Ин</w:t>
      </w:r>
      <w:r w:rsidRPr="004B65B6">
        <w:rPr>
          <w:rFonts w:ascii="Arial" w:hAnsi="Arial" w:cs="Arial"/>
          <w:color w:val="000000" w:themeColor="text1"/>
          <w:sz w:val="20"/>
          <w:szCs w:val="20"/>
        </w:rPr>
        <w:t>тернет по любой проводной технологии, включая доступ с использованием телефонной линии (Dial-up),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B65B6">
        <w:rPr>
          <w:rFonts w:ascii="Arial" w:hAnsi="Arial" w:cs="Arial"/>
          <w:color w:val="000000" w:themeColor="text1"/>
          <w:sz w:val="20"/>
          <w:szCs w:val="20"/>
        </w:rPr>
        <w:t>на любой скорости.</w:t>
      </w:r>
    </w:p>
    <w:p w:rsidR="00E476D4" w:rsidRDefault="00E476D4" w:rsidP="00E476D4">
      <w:pPr>
        <w:spacing w:before="120" w:after="120"/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Передача данных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вид электросвязи, обеспечивающий передачу данных, представленных в виде двоичных символов, для последующей обработки или после обработки вычислительными средствами.</w:t>
      </w:r>
      <w:r w:rsidRPr="00E476D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476D4" w:rsidRDefault="00E476D4" w:rsidP="00E476D4">
      <w:pPr>
        <w:spacing w:before="120" w:after="120"/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Трафик</w:t>
      </w:r>
      <w:r w:rsidR="004A0CFD">
        <w:rPr>
          <w:rStyle w:val="af2"/>
          <w:rFonts w:ascii="Arial" w:hAnsi="Arial" w:cs="Arial"/>
          <w:color w:val="000000" w:themeColor="text1"/>
          <w:sz w:val="20"/>
          <w:szCs w:val="20"/>
        </w:rPr>
        <w:footnoteReference w:customMarkFollows="1" w:id="3"/>
        <w:t>1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нагрузка, создаваемая потоком вызовов, сообщений и сигналов, поступающих на средства связи.</w:t>
      </w:r>
    </w:p>
    <w:p w:rsidR="00E476D4" w:rsidRPr="00E8384E" w:rsidRDefault="00E476D4" w:rsidP="00E476D4">
      <w:pPr>
        <w:spacing w:before="120" w:after="12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Монтированная емкость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величина, характеризующая технологические возможности оператора связи по оказанию на определенной территории Российской Федерации услуг электросвязи, услуг присоединения и услуг по пропуску трафика и измеряемая техническими возможностями оборудования, введенного в сеть оператора связи.</w:t>
      </w:r>
    </w:p>
    <w:p w:rsidR="002D040B" w:rsidRDefault="00E476D4" w:rsidP="002D040B">
      <w:pPr>
        <w:spacing w:before="120" w:after="120"/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Уровень цифровизации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исчисляется как отношение монтированной емкости электронных станций к общей монтированной емкости телефонных станций.</w:t>
      </w:r>
      <w:r w:rsidR="002D040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D70473" w:rsidRPr="00E8384E" w:rsidRDefault="002D040B" w:rsidP="002D040B">
      <w:pPr>
        <w:spacing w:before="120" w:after="120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E8384E">
        <w:rPr>
          <w:rFonts w:ascii="Arial" w:hAnsi="Arial" w:cs="Arial"/>
          <w:b/>
          <w:color w:val="000000" w:themeColor="text1"/>
          <w:sz w:val="20"/>
          <w:szCs w:val="20"/>
        </w:rPr>
        <w:t>Электронная почта</w:t>
      </w:r>
      <w:r w:rsidRPr="00E8384E">
        <w:rPr>
          <w:rFonts w:ascii="Arial" w:hAnsi="Arial" w:cs="Arial"/>
          <w:color w:val="000000" w:themeColor="text1"/>
          <w:sz w:val="20"/>
          <w:szCs w:val="20"/>
        </w:rPr>
        <w:t xml:space="preserve"> – высокоскоростная передача информации, подготовленной или обрабатываемой на входе средствами вычислительной техники, по каналам электросвязи с промежуточным накоплением в "электронных почтовых ящиках".</w:t>
      </w:r>
    </w:p>
    <w:p w:rsidR="005E59B7" w:rsidRPr="00F94B70" w:rsidRDefault="005E59B7" w:rsidP="00921394">
      <w:pPr>
        <w:pStyle w:val="a3"/>
        <w:pBdr>
          <w:top w:val="single" w:sz="6" w:space="0" w:color="000000"/>
        </w:pBdr>
        <w:jc w:val="left"/>
        <w:rPr>
          <w:sz w:val="22"/>
          <w:szCs w:val="28"/>
        </w:rPr>
      </w:pPr>
      <w:r w:rsidRPr="00F94B70">
        <w:rPr>
          <w:i/>
          <w:iCs/>
          <w:sz w:val="22"/>
          <w:szCs w:val="28"/>
        </w:rPr>
        <w:t>Методологические разработки Росстата</w:t>
      </w:r>
      <w:r w:rsidRPr="00F94B70">
        <w:rPr>
          <w:i/>
          <w:iCs/>
          <w:sz w:val="22"/>
          <w:szCs w:val="28"/>
        </w:rPr>
        <w:br/>
        <w:t>Copyright © Федеральная служба государственной статистики</w:t>
      </w:r>
    </w:p>
    <w:sectPr w:rsidR="005E59B7" w:rsidRPr="00F94B70" w:rsidSect="00CD1ED7">
      <w:headerReference w:type="default" r:id="rId9"/>
      <w:footerReference w:type="first" r:id="rId10"/>
      <w:footnotePr>
        <w:numRestart w:val="eachSect"/>
      </w:footnotePr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8D" w:rsidRDefault="008F408D" w:rsidP="00AA3F48">
      <w:r>
        <w:separator/>
      </w:r>
    </w:p>
  </w:endnote>
  <w:endnote w:type="continuationSeparator" w:id="0">
    <w:p w:rsidR="008F408D" w:rsidRDefault="008F408D" w:rsidP="00AA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ITC-Reg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ED4" w:rsidRDefault="00513ED4" w:rsidP="00513ED4">
    <w:pPr>
      <w:pStyle w:val="a9"/>
      <w:tabs>
        <w:tab w:val="clear" w:pos="4677"/>
        <w:tab w:val="clear" w:pos="9355"/>
        <w:tab w:val="left" w:pos="779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8D" w:rsidRDefault="008F408D" w:rsidP="00AA3F48">
      <w:r>
        <w:separator/>
      </w:r>
    </w:p>
  </w:footnote>
  <w:footnote w:type="continuationSeparator" w:id="0">
    <w:p w:rsidR="008F408D" w:rsidRDefault="008F408D" w:rsidP="00AA3F48">
      <w:r>
        <w:continuationSeparator/>
      </w:r>
    </w:p>
  </w:footnote>
  <w:footnote w:id="1">
    <w:p w:rsidR="006A7158" w:rsidRPr="006A7158" w:rsidRDefault="006A7158">
      <w:pPr>
        <w:pStyle w:val="af0"/>
        <w:rPr>
          <w:rFonts w:ascii="Arial" w:hAnsi="Arial" w:cs="Arial"/>
          <w:sz w:val="16"/>
          <w:szCs w:val="16"/>
        </w:rPr>
      </w:pPr>
      <w:r w:rsidRPr="006A7158">
        <w:rPr>
          <w:rStyle w:val="af2"/>
          <w:rFonts w:ascii="Arial" w:hAnsi="Arial" w:cs="Arial"/>
          <w:sz w:val="16"/>
          <w:szCs w:val="16"/>
        </w:rPr>
        <w:footnoteRef/>
      </w:r>
      <w:r w:rsidRPr="006A7158">
        <w:rPr>
          <w:rFonts w:ascii="Arial" w:hAnsi="Arial" w:cs="Arial"/>
          <w:sz w:val="16"/>
          <w:szCs w:val="16"/>
        </w:rPr>
        <w:t xml:space="preserve"> Ст. 2 Федерального закона от 07.07.2003 № 126-ФЗ «О связи» (с изменениями).</w:t>
      </w:r>
    </w:p>
  </w:footnote>
  <w:footnote w:id="2">
    <w:p w:rsidR="006A7158" w:rsidRPr="006A7158" w:rsidRDefault="006A7158" w:rsidP="006A7158">
      <w:pPr>
        <w:keepLines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6A7158">
        <w:rPr>
          <w:rFonts w:ascii="Arial" w:hAnsi="Arial" w:cs="Arial"/>
          <w:color w:val="000000"/>
          <w:sz w:val="16"/>
          <w:szCs w:val="16"/>
        </w:rPr>
        <w:t xml:space="preserve"> Ст. 13 Федерального закона от 07.07.2003 № 126-ФЗ «О связи» (с изменениями).</w:t>
      </w:r>
    </w:p>
    <w:p w:rsidR="006A7158" w:rsidRDefault="006A7158">
      <w:pPr>
        <w:pStyle w:val="af0"/>
      </w:pPr>
    </w:p>
  </w:footnote>
  <w:footnote w:id="3">
    <w:p w:rsidR="004A0CFD" w:rsidRDefault="004A0CFD">
      <w:pPr>
        <w:pStyle w:val="af0"/>
      </w:pPr>
      <w:r>
        <w:rPr>
          <w:rStyle w:val="af2"/>
        </w:rPr>
        <w:t>1</w:t>
      </w:r>
      <w:r>
        <w:t xml:space="preserve"> </w:t>
      </w:r>
      <w:r w:rsidRPr="004A0CFD">
        <w:t>Ст. 2 Федерального закона от 07.07.2003 № 126-ФЗ «О связи» (с изменениями).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440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1AA7" w:rsidRPr="005F1AA7" w:rsidRDefault="005F1AA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1A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1A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1A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0CF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F1A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52B1"/>
    <w:multiLevelType w:val="hybridMultilevel"/>
    <w:tmpl w:val="AA143DC4"/>
    <w:lvl w:ilvl="0" w:tplc="0A12A4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90431A"/>
    <w:multiLevelType w:val="hybridMultilevel"/>
    <w:tmpl w:val="DD08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D55D0"/>
    <w:multiLevelType w:val="hybridMultilevel"/>
    <w:tmpl w:val="A11C4382"/>
    <w:lvl w:ilvl="0" w:tplc="92BA6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5C749E"/>
    <w:multiLevelType w:val="hybridMultilevel"/>
    <w:tmpl w:val="2710E34C"/>
    <w:lvl w:ilvl="0" w:tplc="041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B7"/>
    <w:rsid w:val="00010540"/>
    <w:rsid w:val="0003062A"/>
    <w:rsid w:val="00044E03"/>
    <w:rsid w:val="00061DCC"/>
    <w:rsid w:val="000743B2"/>
    <w:rsid w:val="00091628"/>
    <w:rsid w:val="00091A06"/>
    <w:rsid w:val="000B3DAA"/>
    <w:rsid w:val="000C0018"/>
    <w:rsid w:val="000C322A"/>
    <w:rsid w:val="000D0959"/>
    <w:rsid w:val="000E7193"/>
    <w:rsid w:val="000F1BBC"/>
    <w:rsid w:val="000F4805"/>
    <w:rsid w:val="001019D4"/>
    <w:rsid w:val="001031AD"/>
    <w:rsid w:val="00104E2F"/>
    <w:rsid w:val="00110E69"/>
    <w:rsid w:val="00131A30"/>
    <w:rsid w:val="001577D4"/>
    <w:rsid w:val="00160CA8"/>
    <w:rsid w:val="00166D04"/>
    <w:rsid w:val="00175D19"/>
    <w:rsid w:val="00176762"/>
    <w:rsid w:val="00184D95"/>
    <w:rsid w:val="001A7E45"/>
    <w:rsid w:val="001B4DA3"/>
    <w:rsid w:val="001B5913"/>
    <w:rsid w:val="001C4330"/>
    <w:rsid w:val="001C4AF4"/>
    <w:rsid w:val="001D18AB"/>
    <w:rsid w:val="001D27D7"/>
    <w:rsid w:val="001D6B62"/>
    <w:rsid w:val="001E2348"/>
    <w:rsid w:val="0020419E"/>
    <w:rsid w:val="00215846"/>
    <w:rsid w:val="002168CA"/>
    <w:rsid w:val="00223A15"/>
    <w:rsid w:val="002251AF"/>
    <w:rsid w:val="0023139F"/>
    <w:rsid w:val="00237489"/>
    <w:rsid w:val="00241C17"/>
    <w:rsid w:val="00254E88"/>
    <w:rsid w:val="00272712"/>
    <w:rsid w:val="0028758F"/>
    <w:rsid w:val="002B2E83"/>
    <w:rsid w:val="002C0314"/>
    <w:rsid w:val="002D01C8"/>
    <w:rsid w:val="002D040B"/>
    <w:rsid w:val="002D5592"/>
    <w:rsid w:val="002D7322"/>
    <w:rsid w:val="002D7835"/>
    <w:rsid w:val="002E0F55"/>
    <w:rsid w:val="0030450B"/>
    <w:rsid w:val="003212F3"/>
    <w:rsid w:val="00326E77"/>
    <w:rsid w:val="00333AE4"/>
    <w:rsid w:val="00342825"/>
    <w:rsid w:val="00353A52"/>
    <w:rsid w:val="0036438D"/>
    <w:rsid w:val="003752A1"/>
    <w:rsid w:val="0038247F"/>
    <w:rsid w:val="003911D1"/>
    <w:rsid w:val="003A11A0"/>
    <w:rsid w:val="003A5ACB"/>
    <w:rsid w:val="003B451D"/>
    <w:rsid w:val="003B539B"/>
    <w:rsid w:val="003D1495"/>
    <w:rsid w:val="003E7BB1"/>
    <w:rsid w:val="0040012E"/>
    <w:rsid w:val="00400453"/>
    <w:rsid w:val="00413035"/>
    <w:rsid w:val="004226D6"/>
    <w:rsid w:val="004260FC"/>
    <w:rsid w:val="004430F1"/>
    <w:rsid w:val="004545B7"/>
    <w:rsid w:val="0045471E"/>
    <w:rsid w:val="0047407F"/>
    <w:rsid w:val="0048232E"/>
    <w:rsid w:val="00484DCF"/>
    <w:rsid w:val="00492612"/>
    <w:rsid w:val="004A0CFD"/>
    <w:rsid w:val="004B6050"/>
    <w:rsid w:val="004B65B6"/>
    <w:rsid w:val="004E1919"/>
    <w:rsid w:val="004E363E"/>
    <w:rsid w:val="005076D1"/>
    <w:rsid w:val="00510ED8"/>
    <w:rsid w:val="00513ED4"/>
    <w:rsid w:val="00514358"/>
    <w:rsid w:val="005425D7"/>
    <w:rsid w:val="00547F9B"/>
    <w:rsid w:val="005721AC"/>
    <w:rsid w:val="00575B87"/>
    <w:rsid w:val="00585995"/>
    <w:rsid w:val="00595A5C"/>
    <w:rsid w:val="00596F65"/>
    <w:rsid w:val="005A2EE5"/>
    <w:rsid w:val="005A7EA8"/>
    <w:rsid w:val="005D1C53"/>
    <w:rsid w:val="005D5080"/>
    <w:rsid w:val="005E1189"/>
    <w:rsid w:val="005E3EBD"/>
    <w:rsid w:val="005E59B7"/>
    <w:rsid w:val="005F1AA7"/>
    <w:rsid w:val="005F2E81"/>
    <w:rsid w:val="00605D63"/>
    <w:rsid w:val="00605EC5"/>
    <w:rsid w:val="00607008"/>
    <w:rsid w:val="00622037"/>
    <w:rsid w:val="006257ED"/>
    <w:rsid w:val="00634B47"/>
    <w:rsid w:val="00640260"/>
    <w:rsid w:val="00643441"/>
    <w:rsid w:val="00657D51"/>
    <w:rsid w:val="00660168"/>
    <w:rsid w:val="00662DC4"/>
    <w:rsid w:val="00663FBB"/>
    <w:rsid w:val="0066648A"/>
    <w:rsid w:val="00667EB0"/>
    <w:rsid w:val="006823A7"/>
    <w:rsid w:val="00696C26"/>
    <w:rsid w:val="006979F6"/>
    <w:rsid w:val="006A4A66"/>
    <w:rsid w:val="006A7158"/>
    <w:rsid w:val="006B0D07"/>
    <w:rsid w:val="006B1C2A"/>
    <w:rsid w:val="006C2497"/>
    <w:rsid w:val="006D6D9D"/>
    <w:rsid w:val="006E632D"/>
    <w:rsid w:val="006E6A5C"/>
    <w:rsid w:val="006F0A82"/>
    <w:rsid w:val="00740E49"/>
    <w:rsid w:val="00747E7F"/>
    <w:rsid w:val="00760932"/>
    <w:rsid w:val="007700E6"/>
    <w:rsid w:val="00771186"/>
    <w:rsid w:val="007A1585"/>
    <w:rsid w:val="007D1233"/>
    <w:rsid w:val="007F3CC6"/>
    <w:rsid w:val="00813407"/>
    <w:rsid w:val="0085209B"/>
    <w:rsid w:val="008669E8"/>
    <w:rsid w:val="00871EEA"/>
    <w:rsid w:val="008725C9"/>
    <w:rsid w:val="00873934"/>
    <w:rsid w:val="00873EDB"/>
    <w:rsid w:val="008908B8"/>
    <w:rsid w:val="008A79F7"/>
    <w:rsid w:val="008B27B4"/>
    <w:rsid w:val="008C0A6A"/>
    <w:rsid w:val="008F408D"/>
    <w:rsid w:val="008F5A6D"/>
    <w:rsid w:val="008F6E75"/>
    <w:rsid w:val="008F6F18"/>
    <w:rsid w:val="009010EC"/>
    <w:rsid w:val="0091550D"/>
    <w:rsid w:val="00921394"/>
    <w:rsid w:val="009245CB"/>
    <w:rsid w:val="009333E8"/>
    <w:rsid w:val="00963760"/>
    <w:rsid w:val="00984F85"/>
    <w:rsid w:val="009851FE"/>
    <w:rsid w:val="009856E2"/>
    <w:rsid w:val="00990260"/>
    <w:rsid w:val="009A1CB3"/>
    <w:rsid w:val="009A6203"/>
    <w:rsid w:val="009C023E"/>
    <w:rsid w:val="009C5E75"/>
    <w:rsid w:val="009D7E96"/>
    <w:rsid w:val="009E090C"/>
    <w:rsid w:val="009F283F"/>
    <w:rsid w:val="009F441C"/>
    <w:rsid w:val="009F7DC6"/>
    <w:rsid w:val="00A03D9A"/>
    <w:rsid w:val="00A042E2"/>
    <w:rsid w:val="00A20B3A"/>
    <w:rsid w:val="00A60100"/>
    <w:rsid w:val="00A64617"/>
    <w:rsid w:val="00A7484E"/>
    <w:rsid w:val="00A9034D"/>
    <w:rsid w:val="00AA2620"/>
    <w:rsid w:val="00AA3F48"/>
    <w:rsid w:val="00AA42C5"/>
    <w:rsid w:val="00AB3FB3"/>
    <w:rsid w:val="00AC4AB6"/>
    <w:rsid w:val="00AC71F8"/>
    <w:rsid w:val="00AC756A"/>
    <w:rsid w:val="00AD0C87"/>
    <w:rsid w:val="00AD26B2"/>
    <w:rsid w:val="00AE007B"/>
    <w:rsid w:val="00AE4E3E"/>
    <w:rsid w:val="00B2192A"/>
    <w:rsid w:val="00B43759"/>
    <w:rsid w:val="00B66528"/>
    <w:rsid w:val="00B75783"/>
    <w:rsid w:val="00B8511F"/>
    <w:rsid w:val="00B85537"/>
    <w:rsid w:val="00B92E21"/>
    <w:rsid w:val="00BA3181"/>
    <w:rsid w:val="00BD4642"/>
    <w:rsid w:val="00BD49FB"/>
    <w:rsid w:val="00BE2313"/>
    <w:rsid w:val="00BE56EE"/>
    <w:rsid w:val="00BF0D4B"/>
    <w:rsid w:val="00BF2111"/>
    <w:rsid w:val="00BF3680"/>
    <w:rsid w:val="00BF65EA"/>
    <w:rsid w:val="00BF6826"/>
    <w:rsid w:val="00C03E4D"/>
    <w:rsid w:val="00C04A03"/>
    <w:rsid w:val="00C04E22"/>
    <w:rsid w:val="00C05538"/>
    <w:rsid w:val="00C10811"/>
    <w:rsid w:val="00C26F1C"/>
    <w:rsid w:val="00C274AB"/>
    <w:rsid w:val="00C35877"/>
    <w:rsid w:val="00C664EC"/>
    <w:rsid w:val="00C73A3E"/>
    <w:rsid w:val="00C756A5"/>
    <w:rsid w:val="00CB49AA"/>
    <w:rsid w:val="00CC19EB"/>
    <w:rsid w:val="00CC2881"/>
    <w:rsid w:val="00CD1ED7"/>
    <w:rsid w:val="00CE7898"/>
    <w:rsid w:val="00D01941"/>
    <w:rsid w:val="00D153BF"/>
    <w:rsid w:val="00D15678"/>
    <w:rsid w:val="00D20761"/>
    <w:rsid w:val="00D21B1F"/>
    <w:rsid w:val="00D4475A"/>
    <w:rsid w:val="00D57AA9"/>
    <w:rsid w:val="00D63DB4"/>
    <w:rsid w:val="00D70287"/>
    <w:rsid w:val="00D70473"/>
    <w:rsid w:val="00D743E0"/>
    <w:rsid w:val="00D8677C"/>
    <w:rsid w:val="00DA429D"/>
    <w:rsid w:val="00DB0ABB"/>
    <w:rsid w:val="00DD1123"/>
    <w:rsid w:val="00DE1688"/>
    <w:rsid w:val="00DE55D3"/>
    <w:rsid w:val="00DF2C0E"/>
    <w:rsid w:val="00E07EF7"/>
    <w:rsid w:val="00E204D4"/>
    <w:rsid w:val="00E476D4"/>
    <w:rsid w:val="00E66E8C"/>
    <w:rsid w:val="00E67368"/>
    <w:rsid w:val="00E71B58"/>
    <w:rsid w:val="00E71ED7"/>
    <w:rsid w:val="00E72FA7"/>
    <w:rsid w:val="00E75707"/>
    <w:rsid w:val="00E81E40"/>
    <w:rsid w:val="00E8384E"/>
    <w:rsid w:val="00EC60E4"/>
    <w:rsid w:val="00EE589C"/>
    <w:rsid w:val="00F016EC"/>
    <w:rsid w:val="00F15F43"/>
    <w:rsid w:val="00F173B8"/>
    <w:rsid w:val="00F174CE"/>
    <w:rsid w:val="00F23337"/>
    <w:rsid w:val="00F64849"/>
    <w:rsid w:val="00F67F74"/>
    <w:rsid w:val="00F766FC"/>
    <w:rsid w:val="00F90B00"/>
    <w:rsid w:val="00F94B70"/>
    <w:rsid w:val="00FA2B9D"/>
    <w:rsid w:val="00FA6966"/>
    <w:rsid w:val="00FA6CE3"/>
    <w:rsid w:val="00FB7628"/>
    <w:rsid w:val="00FB7970"/>
    <w:rsid w:val="00FC2ECD"/>
    <w:rsid w:val="00FC5616"/>
    <w:rsid w:val="00FC6A8E"/>
    <w:rsid w:val="00FE456D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5E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C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F48"/>
  </w:style>
  <w:style w:type="paragraph" w:styleId="a9">
    <w:name w:val="footer"/>
    <w:basedOn w:val="a"/>
    <w:link w:val="aa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3F48"/>
  </w:style>
  <w:style w:type="paragraph" w:styleId="ab">
    <w:name w:val="List Paragraph"/>
    <w:basedOn w:val="a"/>
    <w:uiPriority w:val="34"/>
    <w:qFormat/>
    <w:rsid w:val="00547F9B"/>
    <w:pPr>
      <w:ind w:left="720"/>
      <w:contextualSpacing/>
    </w:pPr>
  </w:style>
  <w:style w:type="paragraph" w:customStyle="1" w:styleId="Osn">
    <w:name w:val="Osn"/>
    <w:basedOn w:val="a"/>
    <w:uiPriority w:val="99"/>
    <w:rsid w:val="00F15F43"/>
    <w:pPr>
      <w:widowControl w:val="0"/>
      <w:autoSpaceDE w:val="0"/>
      <w:autoSpaceDN w:val="0"/>
      <w:adjustRightInd w:val="0"/>
      <w:spacing w:line="260" w:lineRule="atLeast"/>
      <w:ind w:firstLine="283"/>
      <w:textAlignment w:val="center"/>
    </w:pPr>
    <w:rPr>
      <w:rFonts w:ascii="OfficinaSansBookITC-Reg" w:eastAsiaTheme="minorEastAsia" w:hAnsi="OfficinaSansBookITC-Reg" w:cs="OfficinaSansBookITC-Reg"/>
      <w:color w:val="000000"/>
      <w:sz w:val="21"/>
      <w:szCs w:val="21"/>
      <w:lang w:eastAsia="ru-RU"/>
    </w:rPr>
  </w:style>
  <w:style w:type="paragraph" w:customStyle="1" w:styleId="ac">
    <w:name w:val="Буллет"/>
    <w:basedOn w:val="Osn"/>
    <w:uiPriority w:val="99"/>
    <w:rsid w:val="00F15F43"/>
    <w:pPr>
      <w:ind w:left="510" w:hanging="227"/>
    </w:pPr>
  </w:style>
  <w:style w:type="paragraph" w:styleId="ad">
    <w:name w:val="endnote text"/>
    <w:basedOn w:val="a"/>
    <w:link w:val="ae"/>
    <w:uiPriority w:val="99"/>
    <w:semiHidden/>
    <w:unhideWhenUsed/>
    <w:rsid w:val="006A715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A715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A715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A715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A715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A71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5E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C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F48"/>
  </w:style>
  <w:style w:type="paragraph" w:styleId="a9">
    <w:name w:val="footer"/>
    <w:basedOn w:val="a"/>
    <w:link w:val="aa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3F48"/>
  </w:style>
  <w:style w:type="paragraph" w:styleId="ab">
    <w:name w:val="List Paragraph"/>
    <w:basedOn w:val="a"/>
    <w:uiPriority w:val="34"/>
    <w:qFormat/>
    <w:rsid w:val="00547F9B"/>
    <w:pPr>
      <w:ind w:left="720"/>
      <w:contextualSpacing/>
    </w:pPr>
  </w:style>
  <w:style w:type="paragraph" w:customStyle="1" w:styleId="Osn">
    <w:name w:val="Osn"/>
    <w:basedOn w:val="a"/>
    <w:uiPriority w:val="99"/>
    <w:rsid w:val="00F15F43"/>
    <w:pPr>
      <w:widowControl w:val="0"/>
      <w:autoSpaceDE w:val="0"/>
      <w:autoSpaceDN w:val="0"/>
      <w:adjustRightInd w:val="0"/>
      <w:spacing w:line="260" w:lineRule="atLeast"/>
      <w:ind w:firstLine="283"/>
      <w:textAlignment w:val="center"/>
    </w:pPr>
    <w:rPr>
      <w:rFonts w:ascii="OfficinaSansBookITC-Reg" w:eastAsiaTheme="minorEastAsia" w:hAnsi="OfficinaSansBookITC-Reg" w:cs="OfficinaSansBookITC-Reg"/>
      <w:color w:val="000000"/>
      <w:sz w:val="21"/>
      <w:szCs w:val="21"/>
      <w:lang w:eastAsia="ru-RU"/>
    </w:rPr>
  </w:style>
  <w:style w:type="paragraph" w:customStyle="1" w:styleId="ac">
    <w:name w:val="Буллет"/>
    <w:basedOn w:val="Osn"/>
    <w:uiPriority w:val="99"/>
    <w:rsid w:val="00F15F43"/>
    <w:pPr>
      <w:ind w:left="510" w:hanging="227"/>
    </w:pPr>
  </w:style>
  <w:style w:type="paragraph" w:styleId="ad">
    <w:name w:val="endnote text"/>
    <w:basedOn w:val="a"/>
    <w:link w:val="ae"/>
    <w:uiPriority w:val="99"/>
    <w:semiHidden/>
    <w:unhideWhenUsed/>
    <w:rsid w:val="006A715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A715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A715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A715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A715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A7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8538-96D4-4638-87BF-C23FF2D7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Елена Александровна</dc:creator>
  <cp:lastModifiedBy>Шибаев Олег Дмитриевич</cp:lastModifiedBy>
  <cp:revision>27</cp:revision>
  <cp:lastPrinted>2019-03-22T14:03:00Z</cp:lastPrinted>
  <dcterms:created xsi:type="dcterms:W3CDTF">2019-03-13T12:03:00Z</dcterms:created>
  <dcterms:modified xsi:type="dcterms:W3CDTF">2019-03-22T14:00:00Z</dcterms:modified>
</cp:coreProperties>
</file>