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0988"/>
      </w:tblGrid>
      <w:tr w:rsidR="00166C84" w:rsidRPr="008D6329" w:rsidTr="008D6329">
        <w:tc>
          <w:tcPr>
            <w:tcW w:w="10988" w:type="dxa"/>
            <w:shd w:val="clear" w:color="auto" w:fill="auto"/>
          </w:tcPr>
          <w:p w:rsidR="00166C84" w:rsidRPr="008D6329" w:rsidRDefault="00166C84" w:rsidP="008D6329">
            <w:pPr>
              <w:rPr>
                <w:rFonts w:ascii="Times New Roman" w:hAnsi="Times New Roman"/>
                <w:b/>
                <w:sz w:val="24"/>
              </w:rPr>
            </w:pPr>
            <w:bookmarkStart w:id="0" w:name="_GoBack"/>
            <w:bookmarkEnd w:id="0"/>
            <w:r w:rsidRPr="008D6329">
              <w:rPr>
                <w:rFonts w:ascii="Times New Roman" w:hAnsi="Times New Roman"/>
                <w:b/>
                <w:sz w:val="24"/>
              </w:rPr>
              <w:t>СТАТИСТИЧЕСКОЕ НАБЛЮДЕНИЕ ЗА ДЕЯТЕЛЬНОСТЬЮ</w:t>
            </w:r>
          </w:p>
        </w:tc>
      </w:tr>
      <w:tr w:rsidR="00166C84" w:rsidRPr="008D6329" w:rsidTr="008D6329">
        <w:tc>
          <w:tcPr>
            <w:tcW w:w="10988" w:type="dxa"/>
            <w:shd w:val="clear" w:color="auto" w:fill="auto"/>
          </w:tcPr>
          <w:p w:rsidR="00166C84" w:rsidRPr="008D6329" w:rsidRDefault="00166C84" w:rsidP="008D6329">
            <w:pPr>
              <w:rPr>
                <w:rFonts w:ascii="Times New Roman" w:hAnsi="Times New Roman"/>
                <w:b/>
                <w:sz w:val="24"/>
              </w:rPr>
            </w:pPr>
            <w:r w:rsidRPr="008D6329">
              <w:rPr>
                <w:rFonts w:ascii="Times New Roman" w:hAnsi="Times New Roman"/>
                <w:b/>
                <w:sz w:val="24"/>
              </w:rPr>
              <w:t>МАЛЫХ ПРЕДПРИЯТИЙ</w:t>
            </w: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r w:rsidRPr="008D6329">
              <w:rPr>
                <w:rFonts w:ascii="Times New Roman" w:hAnsi="Times New Roman"/>
                <w:sz w:val="24"/>
              </w:rPr>
              <w:t xml:space="preserve">Условия отнесения к малым предприятиям определены статьей 4 Федерального закона </w:t>
            </w:r>
            <w:r w:rsidRPr="008D6329">
              <w:rPr>
                <w:rFonts w:ascii="Times New Roman" w:hAnsi="Times New Roman"/>
                <w:sz w:val="24"/>
              </w:rPr>
              <w:br/>
              <w:t xml:space="preserve">от 24 июля </w:t>
            </w:r>
            <w:smartTag w:uri="urn:schemas-microsoft-com:office:smarttags" w:element="metricconverter">
              <w:smartTagPr>
                <w:attr w:name="ProductID" w:val="2007 г"/>
              </w:smartTagPr>
              <w:r w:rsidRPr="008D6329">
                <w:rPr>
                  <w:rFonts w:ascii="Times New Roman" w:hAnsi="Times New Roman"/>
                  <w:sz w:val="24"/>
                </w:rPr>
                <w:t>2007 г</w:t>
              </w:r>
            </w:smartTag>
            <w:r w:rsidRPr="008D6329">
              <w:rPr>
                <w:rFonts w:ascii="Times New Roman" w:hAnsi="Times New Roman"/>
                <w:sz w:val="24"/>
              </w:rPr>
              <w:t>. № 209-ФЗ «О развитии малого и среднего предпринимательства в Российской Федерации»:</w:t>
            </w: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r w:rsidRPr="008D6329">
              <w:rPr>
                <w:rFonts w:ascii="Times New Roman" w:hAnsi="Times New Roman"/>
                <w:sz w:val="24"/>
              </w:rPr>
              <w:t>1) с численностью работников:</w:t>
            </w: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r w:rsidRPr="008D6329">
              <w:rPr>
                <w:rFonts w:ascii="Times New Roman" w:hAnsi="Times New Roman"/>
                <w:sz w:val="24"/>
              </w:rPr>
              <w:t xml:space="preserve">малые предприятия (без </w:t>
            </w:r>
            <w:proofErr w:type="spellStart"/>
            <w:r w:rsidRPr="008D6329">
              <w:rPr>
                <w:rFonts w:ascii="Times New Roman" w:hAnsi="Times New Roman"/>
                <w:sz w:val="24"/>
              </w:rPr>
              <w:t>микропредприятий</w:t>
            </w:r>
            <w:proofErr w:type="spellEnd"/>
            <w:r w:rsidRPr="008D6329">
              <w:rPr>
                <w:rFonts w:ascii="Times New Roman" w:hAnsi="Times New Roman"/>
                <w:sz w:val="24"/>
              </w:rPr>
              <w:t>) – от 16 до 100 человек включительно,</w:t>
            </w: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proofErr w:type="spellStart"/>
            <w:r w:rsidRPr="008D6329">
              <w:rPr>
                <w:rFonts w:ascii="Times New Roman" w:hAnsi="Times New Roman"/>
                <w:sz w:val="24"/>
              </w:rPr>
              <w:t>микропредприятия</w:t>
            </w:r>
            <w:proofErr w:type="spellEnd"/>
            <w:r w:rsidRPr="008D6329">
              <w:rPr>
                <w:rFonts w:ascii="Times New Roman" w:hAnsi="Times New Roman"/>
                <w:sz w:val="24"/>
              </w:rPr>
              <w:t xml:space="preserve"> – до 15 человек включительно;</w:t>
            </w: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r w:rsidRPr="008D6329">
              <w:rPr>
                <w:rFonts w:ascii="Times New Roman" w:hAnsi="Times New Roman"/>
                <w:sz w:val="24"/>
              </w:rPr>
              <w:t>2) выручкой/доходом:</w:t>
            </w: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r w:rsidRPr="008D6329">
              <w:rPr>
                <w:rFonts w:ascii="Times New Roman" w:hAnsi="Times New Roman"/>
                <w:sz w:val="24"/>
              </w:rPr>
              <w:t>для 2011–2015гг. с выручкой от реализации товаров (работ, услуг) для малых предприятий (без микропредприятий) – от 60 до 400 млн. рублей, для микропредприятий – до 60 млн. рублей;</w:t>
            </w: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r w:rsidRPr="008D6329">
              <w:rPr>
                <w:rFonts w:ascii="Times New Roman" w:hAnsi="Times New Roman"/>
                <w:sz w:val="24"/>
              </w:rPr>
              <w:t>в 2016г. с выручкой от реализации товаров (работ, услуг) для малых предприятий (без микропредприятий) – от 120 млн. до 800 млн. рублей; для микропредприятий – до 120 млн. рублей;</w:t>
            </w: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r w:rsidRPr="008D6329">
              <w:rPr>
                <w:rFonts w:ascii="Times New Roman" w:hAnsi="Times New Roman"/>
                <w:sz w:val="24"/>
              </w:rPr>
              <w:t>с 2017г. с предельным значением дохода, полученного от осуществления предпринимательской деятельности за предшествующий календарный год, для малых предприятий (без микропредприятий) – от 120 млн. до 800 млн. рублей, для микропредприятий – до 120 млн. рублей;</w:t>
            </w: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r w:rsidRPr="008D6329">
              <w:rPr>
                <w:rFonts w:ascii="Times New Roman" w:hAnsi="Times New Roman"/>
                <w:sz w:val="24"/>
              </w:rPr>
              <w:t>3) законодательно установленной структурой уставного капитала.</w:t>
            </w: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r w:rsidRPr="008D6329">
              <w:rPr>
                <w:rFonts w:ascii="Times New Roman" w:hAnsi="Times New Roman"/>
                <w:sz w:val="24"/>
              </w:rPr>
              <w:t>Порядок осуществления выборочных обследований малых предприятий установлен постановлением Правительства Российской Федерации от 16 февраля 2008г. № 79 «О порядке проведения выборочных статистических наблюдений за деятельностью субъектов малого и среднего предпринимательства».</w:t>
            </w: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r w:rsidRPr="008D6329">
              <w:rPr>
                <w:rFonts w:ascii="Times New Roman" w:hAnsi="Times New Roman"/>
                <w:sz w:val="24"/>
              </w:rPr>
              <w:t xml:space="preserve">Для малых предприятий (без микропредприятий) бланк обследования (форма федерального статистического наблюдения №ПМ «Сведения об основных показателях деятельности малого предприятия») в </w:t>
            </w:r>
            <w:smartTag w:uri="urn:schemas-microsoft-com:office:smarttags" w:element="metricconverter">
              <w:smartTagPr>
                <w:attr w:name="ProductID" w:val="2020 г"/>
              </w:smartTagPr>
              <w:r w:rsidRPr="008D6329">
                <w:rPr>
                  <w:rFonts w:ascii="Times New Roman" w:hAnsi="Times New Roman"/>
                  <w:sz w:val="24"/>
                </w:rPr>
                <w:t>2020 г</w:t>
              </w:r>
            </w:smartTag>
            <w:r w:rsidRPr="008D6329">
              <w:rPr>
                <w:rFonts w:ascii="Times New Roman" w:hAnsi="Times New Roman"/>
                <w:sz w:val="24"/>
              </w:rPr>
              <w:t xml:space="preserve">.  состоит из четырех разделов: «Анкета», «Численность, начисленная заработная плата работников», «Общие экономические показатели», </w:t>
            </w:r>
            <w:r w:rsidRPr="008D6329">
              <w:rPr>
                <w:rFonts w:ascii="Times New Roman" w:hAnsi="Times New Roman"/>
                <w:iCs/>
                <w:color w:val="000000"/>
                <w:sz w:val="24"/>
              </w:rPr>
              <w:t>«Затраты рабочего времени и расходы на производство и продажу товаров (работ, услуг)»</w:t>
            </w:r>
            <w:r w:rsidRPr="008D6329">
              <w:rPr>
                <w:rFonts w:ascii="Times New Roman" w:hAnsi="Times New Roman"/>
                <w:sz w:val="24"/>
              </w:rPr>
              <w:t>.</w:t>
            </w: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r w:rsidRPr="008D6329">
              <w:rPr>
                <w:rFonts w:ascii="Times New Roman" w:hAnsi="Times New Roman"/>
                <w:sz w:val="24"/>
              </w:rPr>
              <w:t>Сбор сведений от малых предприятий (без микропредприятий) ежеквартально осуществляется выборочным методом с последующим распространением данных по показателям формы № ПМ на генеральную совокупность (основу выборки) в разрезе субъектов Российской Федерации, основных видов экономической деятельности (с 1 квартала 2017г. – по ОКВЭД</w:t>
            </w:r>
            <w:proofErr w:type="gramStart"/>
            <w:r w:rsidRPr="008D6329">
              <w:rPr>
                <w:rFonts w:ascii="Times New Roman" w:hAnsi="Times New Roman"/>
                <w:sz w:val="24"/>
              </w:rPr>
              <w:t>2</w:t>
            </w:r>
            <w:proofErr w:type="gramEnd"/>
            <w:r w:rsidRPr="008D6329">
              <w:rPr>
                <w:rFonts w:ascii="Times New Roman" w:hAnsi="Times New Roman"/>
                <w:sz w:val="24"/>
              </w:rPr>
              <w:t>).</w:t>
            </w: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r w:rsidRPr="008D6329">
              <w:rPr>
                <w:rFonts w:ascii="Times New Roman" w:hAnsi="Times New Roman"/>
                <w:sz w:val="24"/>
              </w:rPr>
              <w:t xml:space="preserve">Для </w:t>
            </w:r>
            <w:proofErr w:type="spellStart"/>
            <w:r w:rsidRPr="008D6329">
              <w:rPr>
                <w:rFonts w:ascii="Times New Roman" w:hAnsi="Times New Roman"/>
                <w:sz w:val="24"/>
              </w:rPr>
              <w:t>микропредприятий</w:t>
            </w:r>
            <w:proofErr w:type="spellEnd"/>
            <w:r w:rsidRPr="008D6329">
              <w:rPr>
                <w:rFonts w:ascii="Times New Roman" w:hAnsi="Times New Roman"/>
                <w:sz w:val="24"/>
              </w:rPr>
              <w:t xml:space="preserve"> бланк обследования (форма федерального статистического наблюдения №М</w:t>
            </w:r>
            <w:proofErr w:type="gramStart"/>
            <w:r w:rsidRPr="008D6329">
              <w:rPr>
                <w:rFonts w:ascii="Times New Roman" w:hAnsi="Times New Roman"/>
                <w:sz w:val="24"/>
              </w:rPr>
              <w:t>П(</w:t>
            </w:r>
            <w:proofErr w:type="gramEnd"/>
            <w:r w:rsidRPr="008D6329">
              <w:rPr>
                <w:rFonts w:ascii="Times New Roman" w:hAnsi="Times New Roman"/>
                <w:sz w:val="24"/>
              </w:rPr>
              <w:t>микро) «Сведения об основных показателях деятельности микропредприятия») состоит из пяти разделов: «Анкета», «Численность, начисленная заработная плата работников и отработанное время», «Общие экономические показатели», «Оптовая и розничная продажа товаров, оборот общественного питания», «Перевозки грузов и грузооборот автомобильного транспорта».</w:t>
            </w: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r w:rsidRPr="008D6329">
              <w:rPr>
                <w:rFonts w:ascii="Times New Roman" w:hAnsi="Times New Roman"/>
                <w:sz w:val="24"/>
              </w:rPr>
              <w:t xml:space="preserve">Сбор сведений от </w:t>
            </w:r>
            <w:proofErr w:type="spellStart"/>
            <w:r w:rsidRPr="008D6329">
              <w:rPr>
                <w:rFonts w:ascii="Times New Roman" w:hAnsi="Times New Roman"/>
                <w:sz w:val="24"/>
              </w:rPr>
              <w:t>микропредприятий</w:t>
            </w:r>
            <w:proofErr w:type="spellEnd"/>
            <w:r w:rsidRPr="008D6329">
              <w:rPr>
                <w:rFonts w:ascii="Times New Roman" w:hAnsi="Times New Roman"/>
                <w:sz w:val="24"/>
              </w:rPr>
              <w:t xml:space="preserve"> ежегодно (кроме годов проведения сплошного наблюдения за деятельностью субъектов малого и среднего предпринимательства) осуществляется выборочным методом с последующим распространением данных по показателям на генеральную совокупность (основу выборки) в разрезе субъектов Российской Федерации, основных видов экономической деятельности (с </w:t>
            </w:r>
            <w:smartTag w:uri="urn:schemas-microsoft-com:office:smarttags" w:element="metricconverter">
              <w:smartTagPr>
                <w:attr w:name="ProductID" w:val="2017 г"/>
              </w:smartTagPr>
              <w:r w:rsidRPr="008D6329">
                <w:rPr>
                  <w:rFonts w:ascii="Times New Roman" w:hAnsi="Times New Roman"/>
                  <w:sz w:val="24"/>
                </w:rPr>
                <w:t>2017 г</w:t>
              </w:r>
            </w:smartTag>
            <w:r w:rsidRPr="008D6329">
              <w:rPr>
                <w:rFonts w:ascii="Times New Roman" w:hAnsi="Times New Roman"/>
                <w:sz w:val="24"/>
              </w:rPr>
              <w:t>. – по ОКВЭД</w:t>
            </w:r>
            <w:proofErr w:type="gramStart"/>
            <w:r w:rsidRPr="008D6329">
              <w:rPr>
                <w:rFonts w:ascii="Times New Roman" w:hAnsi="Times New Roman"/>
                <w:sz w:val="24"/>
              </w:rPr>
              <w:t>2</w:t>
            </w:r>
            <w:proofErr w:type="gramEnd"/>
            <w:r w:rsidRPr="008D6329">
              <w:rPr>
                <w:rFonts w:ascii="Times New Roman" w:hAnsi="Times New Roman"/>
                <w:sz w:val="24"/>
              </w:rPr>
              <w:t>).</w:t>
            </w: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p>
        </w:tc>
      </w:tr>
      <w:tr w:rsidR="00166C84" w:rsidRPr="008D6329" w:rsidTr="008D6329">
        <w:tc>
          <w:tcPr>
            <w:tcW w:w="10988" w:type="dxa"/>
            <w:shd w:val="clear" w:color="auto" w:fill="auto"/>
          </w:tcPr>
          <w:p w:rsidR="00166C84" w:rsidRPr="008D6329" w:rsidRDefault="00166C84" w:rsidP="008D6329">
            <w:pPr>
              <w:rPr>
                <w:rFonts w:ascii="Times New Roman" w:hAnsi="Times New Roman"/>
                <w:b/>
                <w:sz w:val="24"/>
              </w:rPr>
            </w:pPr>
            <w:r w:rsidRPr="008D6329">
              <w:rPr>
                <w:rFonts w:ascii="Times New Roman" w:hAnsi="Times New Roman"/>
                <w:b/>
                <w:sz w:val="24"/>
              </w:rPr>
              <w:t>Этапы работ по организации и проведению выборочного наблюдения</w:t>
            </w: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r w:rsidRPr="008D6329">
              <w:rPr>
                <w:rFonts w:ascii="Times New Roman" w:hAnsi="Times New Roman"/>
                <w:sz w:val="24"/>
              </w:rPr>
              <w:lastRenderedPageBreak/>
              <w:t>1. Формирование генеральной совокупности предприятий (основы выборки).</w:t>
            </w: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r w:rsidRPr="008D6329">
              <w:rPr>
                <w:rFonts w:ascii="Times New Roman" w:hAnsi="Times New Roman"/>
                <w:sz w:val="24"/>
              </w:rPr>
              <w:t>2. Формирование выборочной совокупности предприятий.</w:t>
            </w: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r w:rsidRPr="008D6329">
              <w:rPr>
                <w:rFonts w:ascii="Times New Roman" w:hAnsi="Times New Roman"/>
                <w:sz w:val="24"/>
              </w:rPr>
              <w:t>3. Сбор информации по форме от предприятий, попавших в выборочную совокупность, ее ввод, контроль, корректировка.</w:t>
            </w: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r w:rsidRPr="008D6329">
              <w:rPr>
                <w:rFonts w:ascii="Times New Roman" w:hAnsi="Times New Roman"/>
                <w:sz w:val="24"/>
              </w:rPr>
              <w:t>4. Распространение выборочных данных на генеральную совокупность и расчет характеристик точности получаемых результатов.</w:t>
            </w: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r w:rsidRPr="008D6329">
              <w:rPr>
                <w:rFonts w:ascii="Times New Roman" w:hAnsi="Times New Roman"/>
                <w:sz w:val="24"/>
              </w:rPr>
              <w:t>5. Формирование итогов обследования в целом по Российской Федерации, в разрезе ее субъектов, видов экономической деятельности, расчет характеристик точности получаемых результатов.</w:t>
            </w: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p>
        </w:tc>
      </w:tr>
      <w:tr w:rsidR="00166C84" w:rsidRPr="008D6329" w:rsidTr="008D6329">
        <w:tc>
          <w:tcPr>
            <w:tcW w:w="10988" w:type="dxa"/>
            <w:shd w:val="clear" w:color="auto" w:fill="auto"/>
          </w:tcPr>
          <w:p w:rsidR="00166C84" w:rsidRPr="008D6329" w:rsidRDefault="00166C84" w:rsidP="008D6329">
            <w:pPr>
              <w:spacing w:before="100" w:beforeAutospacing="1" w:after="100" w:afterAutospacing="1"/>
              <w:jc w:val="left"/>
              <w:rPr>
                <w:rFonts w:ascii="Times New Roman" w:hAnsi="Times New Roman"/>
                <w:iCs/>
                <w:color w:val="000000"/>
                <w:sz w:val="24"/>
              </w:rPr>
            </w:pPr>
            <w:r w:rsidRPr="008D6329">
              <w:rPr>
                <w:rFonts w:ascii="Times New Roman" w:hAnsi="Times New Roman"/>
                <w:iCs/>
                <w:color w:val="000000"/>
                <w:sz w:val="24"/>
              </w:rPr>
              <w:t>Этапы 3</w:t>
            </w:r>
            <w:r w:rsidRPr="008D6329">
              <w:rPr>
                <w:rFonts w:ascii="Times New Roman" w:hAnsi="Times New Roman"/>
                <w:sz w:val="24"/>
              </w:rPr>
              <w:t>–</w:t>
            </w:r>
            <w:r w:rsidRPr="008D6329">
              <w:rPr>
                <w:rFonts w:ascii="Times New Roman" w:hAnsi="Times New Roman"/>
                <w:iCs/>
                <w:color w:val="000000"/>
                <w:sz w:val="24"/>
              </w:rPr>
              <w:t>4 реализуются на региональном уровне, этапы 1</w:t>
            </w:r>
            <w:r w:rsidRPr="008D6329">
              <w:rPr>
                <w:rFonts w:ascii="Times New Roman" w:hAnsi="Times New Roman"/>
                <w:sz w:val="24"/>
              </w:rPr>
              <w:t>–</w:t>
            </w:r>
            <w:r w:rsidRPr="008D6329">
              <w:rPr>
                <w:rFonts w:ascii="Times New Roman" w:hAnsi="Times New Roman"/>
                <w:iCs/>
                <w:color w:val="000000"/>
                <w:sz w:val="24"/>
              </w:rPr>
              <w:t xml:space="preserve">2 и 5 </w:t>
            </w:r>
            <w:r w:rsidRPr="008D6329">
              <w:rPr>
                <w:rFonts w:ascii="Times New Roman" w:hAnsi="Times New Roman"/>
                <w:sz w:val="24"/>
              </w:rPr>
              <w:t>–</w:t>
            </w:r>
            <w:r w:rsidRPr="008D6329">
              <w:rPr>
                <w:rFonts w:ascii="Times New Roman" w:hAnsi="Times New Roman"/>
                <w:iCs/>
                <w:color w:val="000000"/>
                <w:sz w:val="24"/>
              </w:rPr>
              <w:t xml:space="preserve"> на федеральном уровне.</w:t>
            </w: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p>
        </w:tc>
      </w:tr>
      <w:tr w:rsidR="00166C84" w:rsidRPr="008D6329" w:rsidTr="008D6329">
        <w:tc>
          <w:tcPr>
            <w:tcW w:w="10988" w:type="dxa"/>
            <w:shd w:val="clear" w:color="auto" w:fill="auto"/>
          </w:tcPr>
          <w:p w:rsidR="00166C84" w:rsidRPr="008D6329" w:rsidRDefault="00166C84" w:rsidP="008D6329">
            <w:pPr>
              <w:rPr>
                <w:rFonts w:ascii="Times New Roman" w:hAnsi="Times New Roman"/>
                <w:b/>
                <w:sz w:val="24"/>
              </w:rPr>
            </w:pPr>
            <w:r w:rsidRPr="008D6329">
              <w:rPr>
                <w:rFonts w:ascii="Times New Roman" w:hAnsi="Times New Roman"/>
                <w:b/>
                <w:sz w:val="24"/>
              </w:rPr>
              <w:t>Формирование основы выборки</w:t>
            </w: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r w:rsidRPr="008D6329">
              <w:rPr>
                <w:rFonts w:ascii="Times New Roman" w:hAnsi="Times New Roman"/>
                <w:sz w:val="24"/>
              </w:rPr>
              <w:t>Для формирования генеральной совокупности (основы выборки) предприятий используются данные единого реестра субъектов малого и среднего предпринимательства, загруженные в Автоматизированную систему Генеральной совокупности объектов федерального статистического  наблюдения (далее – АС ГС ОФСН).</w:t>
            </w: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r w:rsidRPr="008D6329">
              <w:rPr>
                <w:rFonts w:ascii="Times New Roman" w:hAnsi="Times New Roman"/>
                <w:sz w:val="24"/>
              </w:rPr>
              <w:t>По каждому отобранному объекту информация содержит следующие реквизиты:</w:t>
            </w: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r w:rsidRPr="008D6329">
              <w:rPr>
                <w:rFonts w:ascii="Times New Roman" w:hAnsi="Times New Roman"/>
                <w:sz w:val="24"/>
              </w:rPr>
              <w:t xml:space="preserve">     коды Общероссийского классификатора предприятий и организаций (ОКПО), Общероссийского классификатора объектов административно-территориального деления (ОКАТО), Общероссийского классификатора видов экономической деятельности (по ОКВЭД</w:t>
            </w:r>
            <w:proofErr w:type="gramStart"/>
            <w:r w:rsidRPr="008D6329">
              <w:rPr>
                <w:rFonts w:ascii="Times New Roman" w:hAnsi="Times New Roman"/>
                <w:sz w:val="24"/>
              </w:rPr>
              <w:t>2</w:t>
            </w:r>
            <w:proofErr w:type="gramEnd"/>
            <w:r w:rsidRPr="008D6329">
              <w:rPr>
                <w:rFonts w:ascii="Times New Roman" w:hAnsi="Times New Roman"/>
                <w:sz w:val="24"/>
              </w:rPr>
              <w:t>), краткое наименование предприятия (организации);</w:t>
            </w: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r w:rsidRPr="008D6329">
              <w:rPr>
                <w:rFonts w:ascii="Times New Roman" w:hAnsi="Times New Roman"/>
                <w:sz w:val="24"/>
              </w:rPr>
              <w:t xml:space="preserve">     </w:t>
            </w:r>
            <w:proofErr w:type="gramStart"/>
            <w:r w:rsidRPr="008D6329">
              <w:rPr>
                <w:rFonts w:ascii="Times New Roman" w:hAnsi="Times New Roman"/>
                <w:sz w:val="24"/>
              </w:rPr>
              <w:t>показатель «выручка (нетто) от продажи товаров, продукции, работ, услуг (за минусом налога на добавленную стоимость, акцизов и аналогичных обязательных платежей)» (далее – «выручка») по данным бухгалтерской отчетности.</w:t>
            </w:r>
            <w:proofErr w:type="gramEnd"/>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p>
        </w:tc>
      </w:tr>
      <w:tr w:rsidR="00166C84" w:rsidRPr="008D6329" w:rsidTr="008D6329">
        <w:tc>
          <w:tcPr>
            <w:tcW w:w="10988" w:type="dxa"/>
            <w:shd w:val="clear" w:color="auto" w:fill="auto"/>
          </w:tcPr>
          <w:p w:rsidR="00166C84" w:rsidRPr="008D6329" w:rsidRDefault="00166C84" w:rsidP="008D6329">
            <w:pPr>
              <w:rPr>
                <w:rFonts w:ascii="Times New Roman" w:hAnsi="Times New Roman"/>
                <w:b/>
                <w:sz w:val="24"/>
              </w:rPr>
            </w:pPr>
            <w:r w:rsidRPr="008D6329">
              <w:rPr>
                <w:rFonts w:ascii="Times New Roman" w:hAnsi="Times New Roman"/>
                <w:b/>
                <w:sz w:val="24"/>
              </w:rPr>
              <w:t>Формирование выборочной совокупности</w:t>
            </w: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r w:rsidRPr="008D6329">
              <w:rPr>
                <w:rFonts w:ascii="Times New Roman" w:hAnsi="Times New Roman"/>
                <w:sz w:val="24"/>
              </w:rPr>
              <w:t xml:space="preserve">Выборочная совокупность ежегодно формируется отдельно по малым предприятиям (без </w:t>
            </w:r>
            <w:proofErr w:type="spellStart"/>
            <w:r w:rsidRPr="008D6329">
              <w:rPr>
                <w:rFonts w:ascii="Times New Roman" w:hAnsi="Times New Roman"/>
                <w:sz w:val="24"/>
              </w:rPr>
              <w:t>микропредприятий</w:t>
            </w:r>
            <w:proofErr w:type="spellEnd"/>
            <w:r w:rsidRPr="008D6329">
              <w:rPr>
                <w:rFonts w:ascii="Times New Roman" w:hAnsi="Times New Roman"/>
                <w:sz w:val="24"/>
              </w:rPr>
              <w:t xml:space="preserve">) и по </w:t>
            </w:r>
            <w:proofErr w:type="spellStart"/>
            <w:r w:rsidRPr="008D6329">
              <w:rPr>
                <w:rFonts w:ascii="Times New Roman" w:hAnsi="Times New Roman"/>
                <w:sz w:val="24"/>
              </w:rPr>
              <w:t>микропредприятиям</w:t>
            </w:r>
            <w:proofErr w:type="spellEnd"/>
            <w:r w:rsidRPr="008D6329">
              <w:rPr>
                <w:rFonts w:ascii="Times New Roman" w:hAnsi="Times New Roman"/>
                <w:sz w:val="24"/>
              </w:rPr>
              <w:t>.</w:t>
            </w: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r w:rsidRPr="008D6329">
              <w:rPr>
                <w:rFonts w:ascii="Times New Roman" w:hAnsi="Times New Roman"/>
                <w:sz w:val="24"/>
              </w:rPr>
              <w:t>По малым предприятиям (без микропредприятий) сформированная выборочная совокупность используется для всех отчетных кварталов.</w:t>
            </w: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r w:rsidRPr="008D6329">
              <w:rPr>
                <w:rFonts w:ascii="Times New Roman" w:hAnsi="Times New Roman"/>
                <w:sz w:val="24"/>
              </w:rPr>
              <w:t>Для формирования выборочной совокупности основа выборки разделяется на три группы (массива).</w:t>
            </w: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r w:rsidRPr="008D6329">
              <w:rPr>
                <w:rFonts w:ascii="Times New Roman" w:hAnsi="Times New Roman"/>
                <w:sz w:val="24"/>
              </w:rPr>
              <w:t>В первый массив включаются нетипичные предприятия, которые по значениям одного или нескольких показателей выделяются из общей массы предприятий, являются единственными представителями малого предпринимательства по конкретному виду деятельности или территории. Все объекты этого массива включаются в выборочную совокупность.</w:t>
            </w: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r w:rsidRPr="008D6329">
              <w:rPr>
                <w:rFonts w:ascii="Times New Roman" w:hAnsi="Times New Roman"/>
                <w:sz w:val="24"/>
              </w:rPr>
              <w:t>Второй массив включает предприятия, по которым имеются данные о выручке. Предполагается, что во второй массив попадает основная масса предприятий, которые являются типичными для своего вида деятельности.</w:t>
            </w: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r w:rsidRPr="008D6329">
              <w:rPr>
                <w:rFonts w:ascii="Times New Roman" w:hAnsi="Times New Roman"/>
                <w:sz w:val="24"/>
              </w:rPr>
              <w:t>Расслоение основы выборки для второго массива осуществляется по видам экономической деятельности (по ОКВЭД</w:t>
            </w:r>
            <w:proofErr w:type="gramStart"/>
            <w:r w:rsidRPr="008D6329">
              <w:rPr>
                <w:rFonts w:ascii="Times New Roman" w:hAnsi="Times New Roman"/>
                <w:sz w:val="24"/>
              </w:rPr>
              <w:t>2</w:t>
            </w:r>
            <w:proofErr w:type="gramEnd"/>
            <w:r w:rsidRPr="008D6329">
              <w:rPr>
                <w:rFonts w:ascii="Times New Roman" w:hAnsi="Times New Roman"/>
                <w:sz w:val="24"/>
              </w:rPr>
              <w:t>) и по размеру предприятия (по показателю «выручка»).</w:t>
            </w: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r w:rsidRPr="008D6329">
              <w:rPr>
                <w:rFonts w:ascii="Times New Roman" w:hAnsi="Times New Roman"/>
                <w:sz w:val="24"/>
              </w:rPr>
              <w:t>Выборочная совокупность по данному массиву формируется методом расслоенного случайного отбора.</w:t>
            </w: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r w:rsidRPr="008D6329">
              <w:rPr>
                <w:rFonts w:ascii="Times New Roman" w:hAnsi="Times New Roman"/>
                <w:sz w:val="24"/>
              </w:rPr>
              <w:t>Число единиц наблюдения, выбираемых из слоя, определяется в соответствии с оптимальным размещением по Нейману по признаку «выручка».</w:t>
            </w: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r w:rsidRPr="008D6329">
              <w:rPr>
                <w:rFonts w:ascii="Times New Roman" w:hAnsi="Times New Roman"/>
                <w:sz w:val="24"/>
              </w:rPr>
              <w:t>Число единиц наблюдения по субъектам Российской Федерации определяется исходя из того, что значение коэффициента вариации оценки по признаку размещения «выручка» не должно превышать 5%.</w:t>
            </w: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proofErr w:type="gramStart"/>
            <w:r w:rsidRPr="008D6329">
              <w:rPr>
                <w:rFonts w:ascii="Times New Roman" w:hAnsi="Times New Roman"/>
                <w:sz w:val="24"/>
              </w:rPr>
              <w:t>Третий массив включает предприятия, по которым нет данных о «выручке» (вновь созданные, временно приостановившие деятельность, не представившие бухгалтерскую отчетность).</w:t>
            </w:r>
            <w:proofErr w:type="gramEnd"/>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r w:rsidRPr="008D6329">
              <w:rPr>
                <w:rFonts w:ascii="Times New Roman" w:hAnsi="Times New Roman"/>
                <w:sz w:val="24"/>
              </w:rPr>
              <w:t>Расслоение единиц наблюдения генеральной совокупности для третьего массива осуществляется по видам экономической деятельности:</w:t>
            </w: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r w:rsidRPr="008D6329">
              <w:rPr>
                <w:rFonts w:ascii="Times New Roman" w:hAnsi="Times New Roman"/>
                <w:sz w:val="24"/>
              </w:rPr>
              <w:t>Выборочная совокупность по данному массиву формируется пропорциональным размещением объема подвыборки, отводимого на данный массив.</w:t>
            </w: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p>
        </w:tc>
      </w:tr>
      <w:tr w:rsidR="00166C84" w:rsidRPr="008D6329" w:rsidTr="008D6329">
        <w:tc>
          <w:tcPr>
            <w:tcW w:w="10988" w:type="dxa"/>
            <w:shd w:val="clear" w:color="auto" w:fill="auto"/>
          </w:tcPr>
          <w:p w:rsidR="00166C84" w:rsidRPr="008D6329" w:rsidRDefault="00166C84" w:rsidP="008D6329">
            <w:pPr>
              <w:rPr>
                <w:rFonts w:ascii="Times New Roman" w:hAnsi="Times New Roman"/>
                <w:b/>
                <w:sz w:val="24"/>
              </w:rPr>
            </w:pPr>
            <w:r w:rsidRPr="008D6329">
              <w:rPr>
                <w:rFonts w:ascii="Times New Roman" w:hAnsi="Times New Roman"/>
                <w:b/>
                <w:sz w:val="24"/>
              </w:rPr>
              <w:t xml:space="preserve">Обработка полных </w:t>
            </w:r>
            <w:proofErr w:type="spellStart"/>
            <w:r w:rsidRPr="008D6329">
              <w:rPr>
                <w:rFonts w:ascii="Times New Roman" w:hAnsi="Times New Roman"/>
                <w:b/>
                <w:sz w:val="24"/>
              </w:rPr>
              <w:t>неответов</w:t>
            </w:r>
            <w:proofErr w:type="spellEnd"/>
            <w:r w:rsidRPr="008D6329">
              <w:rPr>
                <w:rFonts w:ascii="Times New Roman" w:hAnsi="Times New Roman"/>
                <w:b/>
                <w:sz w:val="24"/>
              </w:rPr>
              <w:t xml:space="preserve"> единиц наблюдения</w:t>
            </w: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r w:rsidRPr="008D6329">
              <w:rPr>
                <w:rFonts w:ascii="Times New Roman" w:hAnsi="Times New Roman"/>
                <w:sz w:val="24"/>
              </w:rPr>
              <w:t xml:space="preserve">Для обработки полных </w:t>
            </w:r>
            <w:proofErr w:type="spellStart"/>
            <w:r w:rsidRPr="008D6329">
              <w:rPr>
                <w:rFonts w:ascii="Times New Roman" w:hAnsi="Times New Roman"/>
                <w:sz w:val="24"/>
              </w:rPr>
              <w:t>неответов</w:t>
            </w:r>
            <w:proofErr w:type="spellEnd"/>
            <w:r w:rsidRPr="008D6329">
              <w:rPr>
                <w:rFonts w:ascii="Times New Roman" w:hAnsi="Times New Roman"/>
                <w:sz w:val="24"/>
              </w:rPr>
              <w:t xml:space="preserve"> респондентов применяется метод </w:t>
            </w:r>
            <w:proofErr w:type="spellStart"/>
            <w:r w:rsidRPr="008D6329">
              <w:rPr>
                <w:rFonts w:ascii="Times New Roman" w:hAnsi="Times New Roman"/>
                <w:sz w:val="24"/>
              </w:rPr>
              <w:t>перевзвешивания</w:t>
            </w:r>
            <w:proofErr w:type="spellEnd"/>
            <w:r w:rsidRPr="008D6329">
              <w:rPr>
                <w:rFonts w:ascii="Times New Roman" w:hAnsi="Times New Roman"/>
                <w:sz w:val="24"/>
              </w:rPr>
              <w:t>.</w:t>
            </w: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r w:rsidRPr="008D6329">
              <w:rPr>
                <w:rFonts w:ascii="Times New Roman" w:hAnsi="Times New Roman"/>
                <w:sz w:val="24"/>
              </w:rPr>
              <w:t xml:space="preserve">Вес </w:t>
            </w:r>
            <w:proofErr w:type="spellStart"/>
            <w:r w:rsidRPr="008D6329">
              <w:rPr>
                <w:rFonts w:ascii="Times New Roman" w:hAnsi="Times New Roman"/>
                <w:sz w:val="24"/>
              </w:rPr>
              <w:t>неответившего</w:t>
            </w:r>
            <w:proofErr w:type="spellEnd"/>
            <w:r w:rsidRPr="008D6329">
              <w:rPr>
                <w:rFonts w:ascii="Times New Roman" w:hAnsi="Times New Roman"/>
                <w:sz w:val="24"/>
              </w:rPr>
              <w:t xml:space="preserve"> предприятия перераспределяется на ответившие предприятия в данном слое.</w:t>
            </w: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p>
        </w:tc>
      </w:tr>
      <w:tr w:rsidR="00166C84" w:rsidRPr="008D6329" w:rsidTr="008D6329">
        <w:tc>
          <w:tcPr>
            <w:tcW w:w="10988" w:type="dxa"/>
            <w:shd w:val="clear" w:color="auto" w:fill="auto"/>
          </w:tcPr>
          <w:p w:rsidR="00166C84" w:rsidRPr="008D6329" w:rsidRDefault="00166C84" w:rsidP="008D6329">
            <w:pPr>
              <w:rPr>
                <w:rFonts w:ascii="Times New Roman" w:hAnsi="Times New Roman"/>
                <w:b/>
                <w:sz w:val="24"/>
              </w:rPr>
            </w:pPr>
            <w:r w:rsidRPr="008D6329">
              <w:rPr>
                <w:rFonts w:ascii="Times New Roman" w:hAnsi="Times New Roman"/>
                <w:b/>
                <w:sz w:val="24"/>
              </w:rPr>
              <w:t>Формирование итогов обследования</w:t>
            </w: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p>
        </w:tc>
      </w:tr>
      <w:tr w:rsidR="00166C84" w:rsidRPr="008D6329" w:rsidTr="008D6329">
        <w:tc>
          <w:tcPr>
            <w:tcW w:w="10988" w:type="dxa"/>
            <w:shd w:val="clear" w:color="auto" w:fill="auto"/>
          </w:tcPr>
          <w:p w:rsidR="00166C84" w:rsidRPr="008D6329" w:rsidRDefault="00166C84" w:rsidP="008D6329">
            <w:pPr>
              <w:rPr>
                <w:rFonts w:ascii="Times New Roman" w:hAnsi="Times New Roman"/>
                <w:sz w:val="24"/>
              </w:rPr>
            </w:pPr>
            <w:r w:rsidRPr="008D6329">
              <w:rPr>
                <w:rFonts w:ascii="Times New Roman" w:hAnsi="Times New Roman"/>
                <w:sz w:val="24"/>
              </w:rPr>
              <w:t xml:space="preserve">Полученные выборочные данные по показателям форм распространяются на регламентные </w:t>
            </w:r>
            <w:proofErr w:type="spellStart"/>
            <w:r w:rsidRPr="008D6329">
              <w:rPr>
                <w:rFonts w:ascii="Times New Roman" w:hAnsi="Times New Roman"/>
                <w:sz w:val="24"/>
              </w:rPr>
              <w:t>подсовокупности</w:t>
            </w:r>
            <w:proofErr w:type="spellEnd"/>
            <w:r w:rsidRPr="008D6329">
              <w:rPr>
                <w:rFonts w:ascii="Times New Roman" w:hAnsi="Times New Roman"/>
                <w:sz w:val="24"/>
              </w:rPr>
              <w:t xml:space="preserve"> (области изучения) генеральной совокупности, а также на совокупность в целом по формуле простого оценивания (по среднему на единицу).</w:t>
            </w:r>
          </w:p>
        </w:tc>
      </w:tr>
    </w:tbl>
    <w:p w:rsidR="00CB4DD7" w:rsidRPr="00F3464E" w:rsidRDefault="00CB4DD7" w:rsidP="00166C84">
      <w:pPr>
        <w:rPr>
          <w:rFonts w:ascii="Times New Roman" w:hAnsi="Times New Roman"/>
          <w:sz w:val="24"/>
        </w:rPr>
      </w:pPr>
    </w:p>
    <w:sectPr w:rsidR="00CB4DD7" w:rsidRPr="00F3464E" w:rsidSect="00CB4DD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rawingGridVerticalSpacing w:val="57"/>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9B8"/>
    <w:rsid w:val="00065DCF"/>
    <w:rsid w:val="000A49B8"/>
    <w:rsid w:val="000A60B2"/>
    <w:rsid w:val="00166C84"/>
    <w:rsid w:val="001F444F"/>
    <w:rsid w:val="003604B8"/>
    <w:rsid w:val="004D58FB"/>
    <w:rsid w:val="006D68D5"/>
    <w:rsid w:val="00826DC1"/>
    <w:rsid w:val="008D6329"/>
    <w:rsid w:val="00A14EE0"/>
    <w:rsid w:val="00A24E16"/>
    <w:rsid w:val="00AC45E4"/>
    <w:rsid w:val="00B653AC"/>
    <w:rsid w:val="00CB4DD7"/>
    <w:rsid w:val="00DC3B53"/>
    <w:rsid w:val="00EB6A06"/>
    <w:rsid w:val="00F3464E"/>
    <w:rsid w:val="00F84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4DD7"/>
    <w:pPr>
      <w:jc w:val="both"/>
    </w:pPr>
    <w:rPr>
      <w:rFonts w:ascii="Verdana" w:hAnsi="Verdana"/>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A24E16"/>
    <w:rPr>
      <w:rFonts w:ascii="Tahoma" w:hAnsi="Tahoma" w:cs="Tahoma"/>
      <w:sz w:val="16"/>
      <w:szCs w:val="16"/>
    </w:rPr>
  </w:style>
  <w:style w:type="character" w:customStyle="1" w:styleId="a4">
    <w:name w:val="Текст выноски Знак"/>
    <w:link w:val="a3"/>
    <w:rsid w:val="00A24E16"/>
    <w:rPr>
      <w:rFonts w:ascii="Tahoma" w:hAnsi="Tahoma" w:cs="Tahoma"/>
      <w:sz w:val="16"/>
      <w:szCs w:val="16"/>
    </w:rPr>
  </w:style>
  <w:style w:type="table" w:styleId="a5">
    <w:name w:val="Table Grid"/>
    <w:basedOn w:val="a1"/>
    <w:rsid w:val="00166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4DD7"/>
    <w:pPr>
      <w:jc w:val="both"/>
    </w:pPr>
    <w:rPr>
      <w:rFonts w:ascii="Verdana" w:hAnsi="Verdana"/>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A24E16"/>
    <w:rPr>
      <w:rFonts w:ascii="Tahoma" w:hAnsi="Tahoma" w:cs="Tahoma"/>
      <w:sz w:val="16"/>
      <w:szCs w:val="16"/>
    </w:rPr>
  </w:style>
  <w:style w:type="character" w:customStyle="1" w:styleId="a4">
    <w:name w:val="Текст выноски Знак"/>
    <w:link w:val="a3"/>
    <w:rsid w:val="00A24E16"/>
    <w:rPr>
      <w:rFonts w:ascii="Tahoma" w:hAnsi="Tahoma" w:cs="Tahoma"/>
      <w:sz w:val="16"/>
      <w:szCs w:val="16"/>
    </w:rPr>
  </w:style>
  <w:style w:type="table" w:styleId="a5">
    <w:name w:val="Table Grid"/>
    <w:basedOn w:val="a1"/>
    <w:rsid w:val="00166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66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1056</Words>
  <Characters>6024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СТАТИСТИЧЕСКОЕ НАБЛЮДЕНИЕ ЗА ДЕЯТЕЛЬНОСТЬЮ</vt:lpstr>
    </vt:vector>
  </TitlesOfParts>
  <Company>HOME</Company>
  <LinksUpToDate>false</LinksUpToDate>
  <CharactersWithSpaces>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СТАТИСТИЧЕСКОЕ НАБЛЮДЕНИЕ ЗА ДЕЯТЕЛЬНОСТЬЮ</dc:title>
  <dc:creator>MX</dc:creator>
  <cp:lastModifiedBy>Кравчук Татьяна Георгиевна</cp:lastModifiedBy>
  <cp:revision>2</cp:revision>
  <cp:lastPrinted>2020-05-28T12:38:00Z</cp:lastPrinted>
  <dcterms:created xsi:type="dcterms:W3CDTF">2020-10-01T13:27:00Z</dcterms:created>
  <dcterms:modified xsi:type="dcterms:W3CDTF">2020-10-01T13:27:00Z</dcterms:modified>
</cp:coreProperties>
</file>